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84" w:rsidRPr="00CE7B84" w:rsidRDefault="00CE7B84" w:rsidP="00B02B34">
      <w:pPr>
        <w:pStyle w:val="NoSpacing"/>
        <w:jc w:val="center"/>
        <w:rPr>
          <w:rFonts w:asciiTheme="minorHAnsi" w:hAnsiTheme="minorHAnsi" w:cstheme="minorHAnsi"/>
          <w:b/>
          <w:sz w:val="28"/>
          <w:szCs w:val="28"/>
        </w:rPr>
      </w:pPr>
      <w:r w:rsidRPr="00CE7B84">
        <w:rPr>
          <w:rFonts w:asciiTheme="minorHAnsi" w:hAnsiTheme="minorHAnsi" w:cstheme="minorHAnsi"/>
          <w:b/>
          <w:sz w:val="28"/>
          <w:szCs w:val="28"/>
        </w:rPr>
        <w:t>SUMMARY OF PROVISIONS IN</w:t>
      </w:r>
    </w:p>
    <w:p w:rsidR="008C6A4C" w:rsidRPr="00CE7B84" w:rsidRDefault="00B446B4" w:rsidP="00B02B34">
      <w:pPr>
        <w:pStyle w:val="NoSpacing"/>
        <w:jc w:val="center"/>
        <w:rPr>
          <w:rFonts w:asciiTheme="minorHAnsi" w:hAnsiTheme="minorHAnsi" w:cstheme="minorHAnsi"/>
          <w:b/>
          <w:sz w:val="36"/>
          <w:szCs w:val="36"/>
        </w:rPr>
      </w:pPr>
      <w:r w:rsidRPr="00CE7B84">
        <w:rPr>
          <w:rFonts w:asciiTheme="minorHAnsi" w:hAnsiTheme="minorHAnsi" w:cstheme="minorHAnsi"/>
          <w:b/>
          <w:sz w:val="36"/>
          <w:szCs w:val="36"/>
        </w:rPr>
        <w:t>The American Taxpayer Relief Act of 2012</w:t>
      </w:r>
    </w:p>
    <w:p w:rsidR="00CE7B84" w:rsidRPr="00CE7B84" w:rsidRDefault="00010C77" w:rsidP="00B02B34">
      <w:pPr>
        <w:pStyle w:val="NoSpacing"/>
        <w:jc w:val="center"/>
        <w:rPr>
          <w:rFonts w:asciiTheme="minorHAnsi" w:hAnsiTheme="minorHAnsi" w:cstheme="minorHAnsi"/>
          <w:b/>
          <w:i/>
          <w:color w:val="C00000"/>
          <w:sz w:val="28"/>
          <w:szCs w:val="28"/>
        </w:rPr>
      </w:pPr>
      <w:r>
        <w:rPr>
          <w:rFonts w:asciiTheme="minorHAnsi" w:hAnsiTheme="minorHAnsi" w:cstheme="minorHAnsi"/>
          <w:b/>
          <w:i/>
          <w:color w:val="C00000"/>
          <w:sz w:val="28"/>
          <w:szCs w:val="28"/>
        </w:rPr>
        <w:t>PRELIMINARY</w:t>
      </w:r>
    </w:p>
    <w:p w:rsidR="00116F28" w:rsidRPr="00E37C81" w:rsidRDefault="00CE04A9" w:rsidP="00A87DB4">
      <w:pPr>
        <w:pStyle w:val="Heading1"/>
        <w:tabs>
          <w:tab w:val="left" w:pos="360"/>
        </w:tabs>
        <w:rPr>
          <w:szCs w:val="24"/>
        </w:rPr>
      </w:pPr>
      <w:r>
        <w:rPr>
          <w:i/>
          <w:color w:val="auto"/>
          <w:sz w:val="24"/>
          <w:szCs w:val="24"/>
        </w:rPr>
        <w:t xml:space="preserve">Title </w:t>
      </w:r>
      <w:r w:rsidR="00C4181E" w:rsidRPr="00E37C81">
        <w:rPr>
          <w:i/>
          <w:color w:val="auto"/>
          <w:sz w:val="24"/>
          <w:szCs w:val="24"/>
        </w:rPr>
        <w:t>I.</w:t>
      </w:r>
      <w:r w:rsidR="00C4181E" w:rsidRPr="00E37C81">
        <w:rPr>
          <w:i/>
          <w:color w:val="auto"/>
          <w:sz w:val="24"/>
          <w:szCs w:val="24"/>
        </w:rPr>
        <w:tab/>
      </w:r>
      <w:r w:rsidR="00DD0D94">
        <w:rPr>
          <w:i/>
          <w:color w:val="auto"/>
          <w:sz w:val="24"/>
          <w:szCs w:val="24"/>
        </w:rPr>
        <w:t>General Extensions</w:t>
      </w:r>
    </w:p>
    <w:p w:rsidR="00223A4F" w:rsidRPr="00E37C81" w:rsidRDefault="00223A4F" w:rsidP="00B02B34">
      <w:pPr>
        <w:pStyle w:val="NoSpacing"/>
        <w:rPr>
          <w:rFonts w:asciiTheme="minorHAnsi" w:hAnsiTheme="minorHAnsi" w:cstheme="minorHAnsi"/>
          <w:b/>
          <w:sz w:val="22"/>
          <w:szCs w:val="22"/>
        </w:rPr>
      </w:pPr>
    </w:p>
    <w:p w:rsidR="00D7261D" w:rsidRPr="00E37C81" w:rsidRDefault="00DD0D94" w:rsidP="00B02B34">
      <w:pPr>
        <w:spacing w:line="240" w:lineRule="auto"/>
        <w:rPr>
          <w:rFonts w:asciiTheme="minorHAnsi" w:hAnsiTheme="minorHAnsi" w:cstheme="minorHAnsi"/>
          <w:b/>
          <w:sz w:val="22"/>
          <w:u w:val="single"/>
        </w:rPr>
      </w:pPr>
      <w:r>
        <w:rPr>
          <w:rFonts w:asciiTheme="minorHAnsi" w:hAnsiTheme="minorHAnsi" w:cstheme="minorHAnsi"/>
          <w:b/>
          <w:sz w:val="22"/>
          <w:u w:val="single"/>
        </w:rPr>
        <w:t>Permanent extension of 2001 tax relief</w:t>
      </w:r>
    </w:p>
    <w:p w:rsidR="00A22EC8" w:rsidRPr="00E37C81" w:rsidRDefault="005226F0" w:rsidP="0065097D">
      <w:pPr>
        <w:spacing w:after="0" w:line="240" w:lineRule="auto"/>
        <w:ind w:left="180"/>
        <w:rPr>
          <w:rFonts w:asciiTheme="minorHAnsi" w:hAnsiTheme="minorHAnsi" w:cstheme="minorHAnsi"/>
          <w:sz w:val="22"/>
        </w:rPr>
      </w:pPr>
      <w:r w:rsidRPr="00E37C81">
        <w:rPr>
          <w:rFonts w:asciiTheme="minorHAnsi" w:hAnsiTheme="minorHAnsi" w:cstheme="minorHAnsi"/>
          <w:b/>
          <w:i/>
          <w:sz w:val="22"/>
        </w:rPr>
        <w:t xml:space="preserve">Permanently </w:t>
      </w:r>
      <w:r w:rsidR="00002252" w:rsidRPr="00E37C81">
        <w:rPr>
          <w:rFonts w:asciiTheme="minorHAnsi" w:hAnsiTheme="minorHAnsi" w:cstheme="minorHAnsi"/>
          <w:b/>
          <w:i/>
          <w:sz w:val="22"/>
        </w:rPr>
        <w:t>extend</w:t>
      </w:r>
      <w:r w:rsidR="00D7261D" w:rsidRPr="00E37C81">
        <w:rPr>
          <w:rFonts w:asciiTheme="minorHAnsi" w:hAnsiTheme="minorHAnsi" w:cstheme="minorHAnsi"/>
          <w:b/>
          <w:i/>
          <w:sz w:val="22"/>
        </w:rPr>
        <w:t xml:space="preserve"> the 10% bracket.</w:t>
      </w:r>
      <w:r w:rsidR="00D7261D" w:rsidRPr="00E37C81">
        <w:rPr>
          <w:rFonts w:asciiTheme="minorHAnsi" w:hAnsiTheme="minorHAnsi" w:cstheme="minorHAnsi"/>
          <w:sz w:val="22"/>
        </w:rPr>
        <w:t xml:space="preserve">  Under current law, the 10% individual income tax bracket expires at the end of 201</w:t>
      </w:r>
      <w:r w:rsidR="00155D28" w:rsidRPr="00E37C81">
        <w:rPr>
          <w:rFonts w:asciiTheme="minorHAnsi" w:hAnsiTheme="minorHAnsi" w:cstheme="minorHAnsi"/>
          <w:sz w:val="22"/>
        </w:rPr>
        <w:t>2</w:t>
      </w:r>
      <w:r w:rsidR="00D7261D" w:rsidRPr="00E37C81">
        <w:rPr>
          <w:rFonts w:asciiTheme="minorHAnsi" w:hAnsiTheme="minorHAnsi" w:cstheme="minorHAnsi"/>
          <w:sz w:val="22"/>
        </w:rPr>
        <w:t>.  Upon expiration, the</w:t>
      </w:r>
      <w:r w:rsidR="00DF6F26" w:rsidRPr="00E37C81">
        <w:rPr>
          <w:rFonts w:asciiTheme="minorHAnsi" w:hAnsiTheme="minorHAnsi" w:cstheme="minorHAnsi"/>
          <w:sz w:val="22"/>
        </w:rPr>
        <w:t xml:space="preserve"> lowest tax</w:t>
      </w:r>
      <w:r w:rsidR="00D7261D" w:rsidRPr="00E37C81">
        <w:rPr>
          <w:rFonts w:asciiTheme="minorHAnsi" w:hAnsiTheme="minorHAnsi" w:cstheme="minorHAnsi"/>
          <w:sz w:val="22"/>
        </w:rPr>
        <w:t xml:space="preserve"> rate </w:t>
      </w:r>
      <w:r w:rsidR="00DF6F26" w:rsidRPr="00E37C81">
        <w:rPr>
          <w:rFonts w:asciiTheme="minorHAnsi" w:hAnsiTheme="minorHAnsi" w:cstheme="minorHAnsi"/>
          <w:sz w:val="22"/>
        </w:rPr>
        <w:t>will be</w:t>
      </w:r>
      <w:r w:rsidR="00D7261D" w:rsidRPr="00E37C81">
        <w:rPr>
          <w:rFonts w:asciiTheme="minorHAnsi" w:hAnsiTheme="minorHAnsi" w:cstheme="minorHAnsi"/>
          <w:sz w:val="22"/>
        </w:rPr>
        <w:t xml:space="preserve"> 15%.  Th</w:t>
      </w:r>
      <w:r w:rsidR="005A6E5F" w:rsidRPr="00E37C81">
        <w:rPr>
          <w:rFonts w:asciiTheme="minorHAnsi" w:hAnsiTheme="minorHAnsi" w:cstheme="minorHAnsi"/>
          <w:sz w:val="22"/>
        </w:rPr>
        <w:t>e</w:t>
      </w:r>
      <w:r w:rsidR="00D7261D" w:rsidRPr="00E37C81">
        <w:rPr>
          <w:rFonts w:asciiTheme="minorHAnsi" w:hAnsiTheme="minorHAnsi" w:cstheme="minorHAnsi"/>
          <w:sz w:val="22"/>
        </w:rPr>
        <w:t xml:space="preserve"> </w:t>
      </w:r>
      <w:r w:rsidR="00683E62" w:rsidRPr="00E37C81">
        <w:rPr>
          <w:rFonts w:asciiTheme="minorHAnsi" w:hAnsiTheme="minorHAnsi" w:cstheme="minorHAnsi"/>
          <w:sz w:val="22"/>
        </w:rPr>
        <w:t>bill</w:t>
      </w:r>
      <w:r w:rsidR="00D7261D" w:rsidRPr="00E37C81">
        <w:rPr>
          <w:rFonts w:asciiTheme="minorHAnsi" w:hAnsiTheme="minorHAnsi" w:cstheme="minorHAnsi"/>
          <w:sz w:val="22"/>
        </w:rPr>
        <w:t xml:space="preserve"> </w:t>
      </w:r>
      <w:r w:rsidR="00223A4F" w:rsidRPr="00E37C81">
        <w:rPr>
          <w:rFonts w:asciiTheme="minorHAnsi" w:hAnsiTheme="minorHAnsi" w:cstheme="minorHAnsi"/>
          <w:sz w:val="22"/>
        </w:rPr>
        <w:t>extends</w:t>
      </w:r>
      <w:r w:rsidR="00D7261D" w:rsidRPr="00E37C81">
        <w:rPr>
          <w:rFonts w:asciiTheme="minorHAnsi" w:hAnsiTheme="minorHAnsi" w:cstheme="minorHAnsi"/>
          <w:sz w:val="22"/>
        </w:rPr>
        <w:t xml:space="preserve"> the 10% individual income tax bracket </w:t>
      </w:r>
      <w:r w:rsidR="00223A4F" w:rsidRPr="00E37C81">
        <w:rPr>
          <w:rFonts w:asciiTheme="minorHAnsi" w:hAnsiTheme="minorHAnsi" w:cstheme="minorHAnsi"/>
          <w:sz w:val="22"/>
        </w:rPr>
        <w:t xml:space="preserve">for </w:t>
      </w:r>
      <w:r w:rsidRPr="00E37C81">
        <w:rPr>
          <w:rFonts w:asciiTheme="minorHAnsi" w:hAnsiTheme="minorHAnsi" w:cstheme="minorHAnsi"/>
          <w:sz w:val="22"/>
        </w:rPr>
        <w:t>taxable years beginning after December 31, 201</w:t>
      </w:r>
      <w:r w:rsidR="0093576C" w:rsidRPr="00E37C81">
        <w:rPr>
          <w:rFonts w:asciiTheme="minorHAnsi" w:hAnsiTheme="minorHAnsi" w:cstheme="minorHAnsi"/>
          <w:sz w:val="22"/>
        </w:rPr>
        <w:t>2</w:t>
      </w:r>
      <w:r w:rsidR="00D7261D" w:rsidRPr="00E37C81">
        <w:rPr>
          <w:rFonts w:asciiTheme="minorHAnsi" w:hAnsiTheme="minorHAnsi" w:cstheme="minorHAnsi"/>
          <w:sz w:val="22"/>
        </w:rPr>
        <w:t xml:space="preserve">.  </w:t>
      </w:r>
    </w:p>
    <w:p w:rsidR="000668F4" w:rsidRPr="00E37C81" w:rsidRDefault="000668F4" w:rsidP="000668F4">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w:t>
      </w:r>
      <w:r w:rsidR="00FE7702">
        <w:rPr>
          <w:rStyle w:val="FootnoteReference"/>
          <w:rFonts w:asciiTheme="minorHAnsi" w:hAnsiTheme="minorHAnsi"/>
          <w:b w:val="0"/>
          <w:iCs/>
          <w:sz w:val="22"/>
        </w:rPr>
        <w:footnoteReference w:id="1"/>
      </w:r>
      <w:r w:rsidRPr="00E37C81">
        <w:rPr>
          <w:rFonts w:asciiTheme="minorHAnsi" w:hAnsiTheme="minorHAnsi"/>
          <w:b w:val="0"/>
          <w:iCs/>
          <w:sz w:val="22"/>
        </w:rPr>
        <w:t xml:space="preserve"> $44</w:t>
      </w:r>
      <w:r w:rsidR="00C101BD" w:rsidRPr="00E37C81">
        <w:rPr>
          <w:rFonts w:asciiTheme="minorHAnsi" w:hAnsiTheme="minorHAnsi"/>
          <w:b w:val="0"/>
          <w:iCs/>
          <w:sz w:val="22"/>
        </w:rPr>
        <w:t>2</w:t>
      </w:r>
      <w:r w:rsidRPr="00E37C81">
        <w:rPr>
          <w:rFonts w:asciiTheme="minorHAnsi" w:hAnsiTheme="minorHAnsi"/>
          <w:b w:val="0"/>
          <w:iCs/>
          <w:sz w:val="22"/>
        </w:rPr>
        <w:t>.641 billion over ten years</w:t>
      </w:r>
      <w:r w:rsidR="00B446B4" w:rsidRPr="00E37C81">
        <w:rPr>
          <w:rFonts w:asciiTheme="minorHAnsi" w:hAnsiTheme="minorHAnsi"/>
          <w:b w:val="0"/>
          <w:iCs/>
          <w:sz w:val="22"/>
        </w:rPr>
        <w:t>.</w:t>
      </w:r>
    </w:p>
    <w:p w:rsidR="000668F4" w:rsidRPr="00CE7B84" w:rsidRDefault="000668F4" w:rsidP="00CE7B84">
      <w:pPr>
        <w:spacing w:after="0" w:line="240" w:lineRule="auto"/>
        <w:ind w:left="180"/>
        <w:rPr>
          <w:rFonts w:asciiTheme="minorHAnsi" w:hAnsiTheme="minorHAnsi" w:cstheme="minorHAnsi"/>
          <w:sz w:val="28"/>
          <w:szCs w:val="28"/>
        </w:rPr>
      </w:pPr>
    </w:p>
    <w:p w:rsidR="00D7261D" w:rsidRPr="00E37C81" w:rsidRDefault="005226F0" w:rsidP="0065097D">
      <w:pPr>
        <w:spacing w:after="0" w:line="240" w:lineRule="auto"/>
        <w:ind w:left="180"/>
        <w:rPr>
          <w:rFonts w:asciiTheme="minorHAnsi" w:hAnsiTheme="minorHAnsi" w:cstheme="minorHAnsi"/>
          <w:sz w:val="22"/>
        </w:rPr>
      </w:pPr>
      <w:r w:rsidRPr="00E37C81">
        <w:rPr>
          <w:rFonts w:asciiTheme="minorHAnsi" w:hAnsiTheme="minorHAnsi" w:cstheme="minorHAnsi"/>
          <w:b/>
          <w:i/>
          <w:sz w:val="22"/>
        </w:rPr>
        <w:t xml:space="preserve">Permanently </w:t>
      </w:r>
      <w:r w:rsidR="00002252" w:rsidRPr="00E37C81">
        <w:rPr>
          <w:rFonts w:asciiTheme="minorHAnsi" w:hAnsiTheme="minorHAnsi" w:cstheme="minorHAnsi"/>
          <w:b/>
          <w:i/>
          <w:sz w:val="22"/>
        </w:rPr>
        <w:t>extend</w:t>
      </w:r>
      <w:r w:rsidR="00223A4F" w:rsidRPr="00E37C81">
        <w:rPr>
          <w:rFonts w:asciiTheme="minorHAnsi" w:hAnsiTheme="minorHAnsi" w:cstheme="minorHAnsi"/>
          <w:b/>
          <w:i/>
          <w:sz w:val="22"/>
        </w:rPr>
        <w:t xml:space="preserve"> the 25%, 28%, </w:t>
      </w:r>
      <w:r w:rsidR="00155D28" w:rsidRPr="00E37C81">
        <w:rPr>
          <w:rFonts w:asciiTheme="minorHAnsi" w:hAnsiTheme="minorHAnsi" w:cstheme="minorHAnsi"/>
          <w:b/>
          <w:i/>
          <w:sz w:val="22"/>
        </w:rPr>
        <w:t xml:space="preserve">and </w:t>
      </w:r>
      <w:r w:rsidR="00D7261D" w:rsidRPr="00E37C81">
        <w:rPr>
          <w:rFonts w:asciiTheme="minorHAnsi" w:hAnsiTheme="minorHAnsi" w:cstheme="minorHAnsi"/>
          <w:b/>
          <w:i/>
          <w:sz w:val="22"/>
        </w:rPr>
        <w:t>33%</w:t>
      </w:r>
      <w:r w:rsidR="00155D28" w:rsidRPr="00E37C81">
        <w:rPr>
          <w:rFonts w:asciiTheme="minorHAnsi" w:hAnsiTheme="minorHAnsi" w:cstheme="minorHAnsi"/>
          <w:b/>
          <w:i/>
          <w:sz w:val="22"/>
        </w:rPr>
        <w:t xml:space="preserve"> income tax rates for certain taxpayers</w:t>
      </w:r>
      <w:r w:rsidR="00D7261D" w:rsidRPr="00E37C81">
        <w:rPr>
          <w:rFonts w:asciiTheme="minorHAnsi" w:hAnsiTheme="minorHAnsi" w:cstheme="minorHAnsi"/>
          <w:b/>
          <w:i/>
          <w:sz w:val="22"/>
        </w:rPr>
        <w:t>.</w:t>
      </w:r>
      <w:r w:rsidR="00D7261D" w:rsidRPr="00E37C81">
        <w:rPr>
          <w:rFonts w:asciiTheme="minorHAnsi" w:hAnsiTheme="minorHAnsi" w:cstheme="minorHAnsi"/>
          <w:sz w:val="22"/>
        </w:rPr>
        <w:t xml:space="preserve">  U</w:t>
      </w:r>
      <w:r w:rsidR="00223A4F" w:rsidRPr="00E37C81">
        <w:rPr>
          <w:rFonts w:asciiTheme="minorHAnsi" w:hAnsiTheme="minorHAnsi" w:cstheme="minorHAnsi"/>
          <w:sz w:val="22"/>
        </w:rPr>
        <w:t xml:space="preserve">nder current law, the 25%, 28%, </w:t>
      </w:r>
      <w:r w:rsidR="00D7261D" w:rsidRPr="00E37C81">
        <w:rPr>
          <w:rFonts w:asciiTheme="minorHAnsi" w:hAnsiTheme="minorHAnsi" w:cstheme="minorHAnsi"/>
          <w:sz w:val="22"/>
        </w:rPr>
        <w:t>33%</w:t>
      </w:r>
      <w:r w:rsidR="00223A4F" w:rsidRPr="00E37C81">
        <w:rPr>
          <w:rFonts w:asciiTheme="minorHAnsi" w:hAnsiTheme="minorHAnsi" w:cstheme="minorHAnsi"/>
          <w:sz w:val="22"/>
        </w:rPr>
        <w:t>, and 35%</w:t>
      </w:r>
      <w:r w:rsidR="00D7261D" w:rsidRPr="00E37C81">
        <w:rPr>
          <w:rFonts w:asciiTheme="minorHAnsi" w:hAnsiTheme="minorHAnsi" w:cstheme="minorHAnsi"/>
          <w:sz w:val="22"/>
        </w:rPr>
        <w:t xml:space="preserve"> individual income tax brackets expire at the end of 201</w:t>
      </w:r>
      <w:r w:rsidR="00B02B34" w:rsidRPr="00E37C81">
        <w:rPr>
          <w:rFonts w:asciiTheme="minorHAnsi" w:hAnsiTheme="minorHAnsi" w:cstheme="minorHAnsi"/>
          <w:sz w:val="22"/>
        </w:rPr>
        <w:t>2</w:t>
      </w:r>
      <w:r w:rsidR="00D7261D" w:rsidRPr="00E37C81">
        <w:rPr>
          <w:rFonts w:asciiTheme="minorHAnsi" w:hAnsiTheme="minorHAnsi" w:cstheme="minorHAnsi"/>
          <w:sz w:val="22"/>
        </w:rPr>
        <w:t>.  Upon expiration, the rates become 28%, 31%, 36%</w:t>
      </w:r>
      <w:r w:rsidR="00223A4F" w:rsidRPr="00E37C81">
        <w:rPr>
          <w:rFonts w:asciiTheme="minorHAnsi" w:hAnsiTheme="minorHAnsi" w:cstheme="minorHAnsi"/>
          <w:sz w:val="22"/>
        </w:rPr>
        <w:t>, and 39.6%</w:t>
      </w:r>
      <w:r w:rsidR="00D7261D" w:rsidRPr="00E37C81">
        <w:rPr>
          <w:rFonts w:asciiTheme="minorHAnsi" w:hAnsiTheme="minorHAnsi" w:cstheme="minorHAnsi"/>
          <w:sz w:val="22"/>
        </w:rPr>
        <w:t xml:space="preserve"> respectively.  Th</w:t>
      </w:r>
      <w:r w:rsidR="005A6E5F" w:rsidRPr="00E37C81">
        <w:rPr>
          <w:rFonts w:asciiTheme="minorHAnsi" w:hAnsiTheme="minorHAnsi" w:cstheme="minorHAnsi"/>
          <w:sz w:val="22"/>
        </w:rPr>
        <w:t>e</w:t>
      </w:r>
      <w:r w:rsidR="00D7261D" w:rsidRPr="00E37C81">
        <w:rPr>
          <w:rFonts w:asciiTheme="minorHAnsi" w:hAnsiTheme="minorHAnsi" w:cstheme="minorHAnsi"/>
          <w:sz w:val="22"/>
        </w:rPr>
        <w:t xml:space="preserve"> </w:t>
      </w:r>
      <w:r w:rsidR="00683E62" w:rsidRPr="00E37C81">
        <w:rPr>
          <w:rFonts w:asciiTheme="minorHAnsi" w:hAnsiTheme="minorHAnsi" w:cstheme="minorHAnsi"/>
          <w:sz w:val="22"/>
        </w:rPr>
        <w:t>bill</w:t>
      </w:r>
      <w:r w:rsidR="00223A4F" w:rsidRPr="00E37C81">
        <w:rPr>
          <w:rFonts w:asciiTheme="minorHAnsi" w:hAnsiTheme="minorHAnsi" w:cstheme="minorHAnsi"/>
          <w:sz w:val="22"/>
        </w:rPr>
        <w:t xml:space="preserve"> extends the 25%, 28%, </w:t>
      </w:r>
      <w:r w:rsidR="00155D28" w:rsidRPr="00CE7B84">
        <w:rPr>
          <w:rFonts w:asciiTheme="minorHAnsi" w:hAnsiTheme="minorHAnsi" w:cstheme="minorHAnsi"/>
          <w:sz w:val="22"/>
        </w:rPr>
        <w:t>33%</w:t>
      </w:r>
      <w:r w:rsidR="00A804A0" w:rsidRPr="00E37C81">
        <w:rPr>
          <w:rFonts w:asciiTheme="minorHAnsi" w:hAnsiTheme="minorHAnsi" w:cstheme="minorHAnsi"/>
          <w:sz w:val="22"/>
        </w:rPr>
        <w:t xml:space="preserve"> </w:t>
      </w:r>
      <w:r w:rsidR="0093576C" w:rsidRPr="00E37C81">
        <w:rPr>
          <w:rFonts w:asciiTheme="minorHAnsi" w:hAnsiTheme="minorHAnsi" w:cstheme="minorHAnsi"/>
          <w:sz w:val="22"/>
        </w:rPr>
        <w:t xml:space="preserve">rates </w:t>
      </w:r>
      <w:r w:rsidR="00155D28" w:rsidRPr="00E37C81">
        <w:rPr>
          <w:rFonts w:asciiTheme="minorHAnsi" w:hAnsiTheme="minorHAnsi" w:cstheme="minorHAnsi"/>
          <w:sz w:val="22"/>
        </w:rPr>
        <w:t xml:space="preserve">on income </w:t>
      </w:r>
      <w:r w:rsidR="00166635" w:rsidRPr="00E37C81">
        <w:rPr>
          <w:rFonts w:asciiTheme="minorHAnsi" w:hAnsiTheme="minorHAnsi" w:cstheme="minorHAnsi"/>
          <w:sz w:val="22"/>
        </w:rPr>
        <w:t xml:space="preserve">at or </w:t>
      </w:r>
      <w:r w:rsidR="00155D28" w:rsidRPr="00E37C81">
        <w:rPr>
          <w:rFonts w:asciiTheme="minorHAnsi" w:hAnsiTheme="minorHAnsi" w:cstheme="minorHAnsi"/>
          <w:sz w:val="22"/>
        </w:rPr>
        <w:t>below $</w:t>
      </w:r>
      <w:r w:rsidRPr="00E37C81">
        <w:rPr>
          <w:rFonts w:asciiTheme="minorHAnsi" w:hAnsiTheme="minorHAnsi" w:cstheme="minorHAnsi"/>
          <w:sz w:val="22"/>
        </w:rPr>
        <w:t>400</w:t>
      </w:r>
      <w:r w:rsidR="00155D28" w:rsidRPr="00E37C81">
        <w:rPr>
          <w:rFonts w:asciiTheme="minorHAnsi" w:hAnsiTheme="minorHAnsi" w:cstheme="minorHAnsi"/>
          <w:sz w:val="22"/>
        </w:rPr>
        <w:t>,000 (individual filers)</w:t>
      </w:r>
      <w:r w:rsidR="00895980" w:rsidRPr="00E37C81">
        <w:rPr>
          <w:rFonts w:asciiTheme="minorHAnsi" w:hAnsiTheme="minorHAnsi" w:cstheme="minorHAnsi"/>
          <w:sz w:val="22"/>
        </w:rPr>
        <w:t>, $</w:t>
      </w:r>
      <w:r w:rsidRPr="00E37C81">
        <w:rPr>
          <w:rFonts w:asciiTheme="minorHAnsi" w:hAnsiTheme="minorHAnsi" w:cstheme="minorHAnsi"/>
          <w:sz w:val="22"/>
        </w:rPr>
        <w:t>425</w:t>
      </w:r>
      <w:r w:rsidR="00895980" w:rsidRPr="00E37C81">
        <w:rPr>
          <w:rFonts w:asciiTheme="minorHAnsi" w:hAnsiTheme="minorHAnsi" w:cstheme="minorHAnsi"/>
          <w:sz w:val="22"/>
        </w:rPr>
        <w:t>,000 (heads of households)</w:t>
      </w:r>
      <w:r w:rsidR="00155D28" w:rsidRPr="00E37C81">
        <w:rPr>
          <w:rFonts w:asciiTheme="minorHAnsi" w:hAnsiTheme="minorHAnsi" w:cstheme="minorHAnsi"/>
          <w:sz w:val="22"/>
        </w:rPr>
        <w:t xml:space="preserve"> and $</w:t>
      </w:r>
      <w:r w:rsidRPr="00E37C81">
        <w:rPr>
          <w:rFonts w:asciiTheme="minorHAnsi" w:hAnsiTheme="minorHAnsi" w:cstheme="minorHAnsi"/>
          <w:sz w:val="22"/>
        </w:rPr>
        <w:t>450</w:t>
      </w:r>
      <w:r w:rsidR="00155D28" w:rsidRPr="00E37C81">
        <w:rPr>
          <w:rFonts w:asciiTheme="minorHAnsi" w:hAnsiTheme="minorHAnsi" w:cstheme="minorHAnsi"/>
          <w:sz w:val="22"/>
        </w:rPr>
        <w:t xml:space="preserve">,000 (married filing jointly) </w:t>
      </w:r>
      <w:r w:rsidR="00223A4F" w:rsidRPr="00E37C81">
        <w:rPr>
          <w:rFonts w:asciiTheme="minorHAnsi" w:hAnsiTheme="minorHAnsi" w:cstheme="minorHAnsi"/>
          <w:sz w:val="22"/>
        </w:rPr>
        <w:t xml:space="preserve">for </w:t>
      </w:r>
      <w:r w:rsidRPr="00E37C81">
        <w:rPr>
          <w:rFonts w:asciiTheme="minorHAnsi" w:hAnsiTheme="minorHAnsi" w:cstheme="minorHAnsi"/>
          <w:sz w:val="22"/>
        </w:rPr>
        <w:t>taxable years beginning after December 31, 201</w:t>
      </w:r>
      <w:r w:rsidR="0093576C" w:rsidRPr="00E37C81">
        <w:rPr>
          <w:rFonts w:asciiTheme="minorHAnsi" w:hAnsiTheme="minorHAnsi" w:cstheme="minorHAnsi"/>
          <w:sz w:val="22"/>
        </w:rPr>
        <w:t>2</w:t>
      </w:r>
      <w:r w:rsidR="00223A4F" w:rsidRPr="00E37C81">
        <w:rPr>
          <w:rFonts w:asciiTheme="minorHAnsi" w:hAnsiTheme="minorHAnsi" w:cstheme="minorHAnsi"/>
          <w:sz w:val="22"/>
        </w:rPr>
        <w:t>.</w:t>
      </w:r>
      <w:r w:rsidR="00D7261D" w:rsidRPr="00E37C81">
        <w:rPr>
          <w:rFonts w:asciiTheme="minorHAnsi" w:hAnsiTheme="minorHAnsi" w:cstheme="minorHAnsi"/>
          <w:sz w:val="22"/>
        </w:rPr>
        <w:t xml:space="preserve">  </w:t>
      </w:r>
    </w:p>
    <w:p w:rsidR="000668F4" w:rsidRPr="00E37C81" w:rsidRDefault="000668F4" w:rsidP="000668F4">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$319.</w:t>
      </w:r>
      <w:r w:rsidR="00C101BD" w:rsidRPr="00E37C81">
        <w:rPr>
          <w:rFonts w:asciiTheme="minorHAnsi" w:hAnsiTheme="minorHAnsi"/>
          <w:b w:val="0"/>
          <w:iCs/>
          <w:sz w:val="22"/>
        </w:rPr>
        <w:t>71</w:t>
      </w:r>
      <w:r w:rsidRPr="00E37C81">
        <w:rPr>
          <w:rFonts w:asciiTheme="minorHAnsi" w:hAnsiTheme="minorHAnsi"/>
          <w:b w:val="0"/>
          <w:iCs/>
          <w:sz w:val="22"/>
        </w:rPr>
        <w:t>1 billion over ten years</w:t>
      </w:r>
      <w:r w:rsidR="00B446B4" w:rsidRPr="00E37C81">
        <w:rPr>
          <w:rFonts w:asciiTheme="minorHAnsi" w:hAnsiTheme="minorHAnsi"/>
          <w:b w:val="0"/>
          <w:iCs/>
          <w:sz w:val="22"/>
        </w:rPr>
        <w:t>.</w:t>
      </w:r>
      <w:r w:rsidR="00B446B4" w:rsidRPr="00E37C81">
        <w:rPr>
          <w:rStyle w:val="FootnoteReference"/>
          <w:rFonts w:asciiTheme="minorHAnsi" w:hAnsiTheme="minorHAnsi"/>
          <w:b w:val="0"/>
          <w:iCs/>
          <w:sz w:val="22"/>
        </w:rPr>
        <w:footnoteReference w:id="2"/>
      </w:r>
      <w:r w:rsidRPr="00E37C81">
        <w:rPr>
          <w:rFonts w:asciiTheme="minorHAnsi" w:hAnsiTheme="minorHAnsi"/>
          <w:b w:val="0"/>
          <w:iCs/>
          <w:sz w:val="22"/>
        </w:rPr>
        <w:t xml:space="preserve"> </w:t>
      </w:r>
    </w:p>
    <w:p w:rsidR="00B771E6" w:rsidRPr="00E37C81" w:rsidRDefault="00B771E6" w:rsidP="00B771E6">
      <w:pPr>
        <w:spacing w:after="0" w:line="240" w:lineRule="auto"/>
        <w:ind w:left="180"/>
        <w:rPr>
          <w:rFonts w:asciiTheme="minorHAnsi" w:hAnsiTheme="minorHAnsi" w:cstheme="minorHAnsi"/>
          <w:sz w:val="28"/>
          <w:szCs w:val="28"/>
        </w:rPr>
      </w:pPr>
    </w:p>
    <w:p w:rsidR="00D7261D" w:rsidRPr="00E37C81" w:rsidRDefault="005226F0" w:rsidP="00C4181E">
      <w:pPr>
        <w:pStyle w:val="NoSpacing"/>
        <w:ind w:left="180"/>
        <w:rPr>
          <w:rFonts w:asciiTheme="minorHAnsi" w:hAnsiTheme="minorHAnsi" w:cstheme="minorHAnsi"/>
          <w:sz w:val="22"/>
          <w:szCs w:val="22"/>
        </w:rPr>
      </w:pPr>
      <w:r w:rsidRPr="00E37C81">
        <w:rPr>
          <w:rFonts w:asciiTheme="minorHAnsi" w:hAnsiTheme="minorHAnsi" w:cstheme="minorHAnsi"/>
          <w:b/>
          <w:i/>
          <w:sz w:val="22"/>
        </w:rPr>
        <w:t xml:space="preserve">Permanently </w:t>
      </w:r>
      <w:r w:rsidR="001A2A93" w:rsidRPr="00E37C81">
        <w:rPr>
          <w:rFonts w:asciiTheme="minorHAnsi" w:hAnsiTheme="minorHAnsi" w:cstheme="minorHAnsi"/>
          <w:b/>
          <w:i/>
          <w:sz w:val="22"/>
          <w:szCs w:val="22"/>
        </w:rPr>
        <w:t>r</w:t>
      </w:r>
      <w:r w:rsidR="00D7261D" w:rsidRPr="00E37C81">
        <w:rPr>
          <w:rFonts w:asciiTheme="minorHAnsi" w:hAnsiTheme="minorHAnsi" w:cstheme="minorHAnsi"/>
          <w:b/>
          <w:i/>
          <w:sz w:val="22"/>
          <w:szCs w:val="22"/>
        </w:rPr>
        <w:t>epeal the</w:t>
      </w:r>
      <w:r w:rsidR="001A2A93" w:rsidRPr="00E37C81">
        <w:rPr>
          <w:rFonts w:asciiTheme="minorHAnsi" w:hAnsiTheme="minorHAnsi" w:cstheme="minorHAnsi"/>
          <w:b/>
          <w:i/>
          <w:sz w:val="22"/>
          <w:szCs w:val="22"/>
        </w:rPr>
        <w:t xml:space="preserve"> </w:t>
      </w:r>
      <w:r w:rsidR="00D7261D" w:rsidRPr="00E37C81">
        <w:rPr>
          <w:rFonts w:asciiTheme="minorHAnsi" w:hAnsiTheme="minorHAnsi" w:cstheme="minorHAnsi"/>
          <w:b/>
          <w:i/>
          <w:sz w:val="22"/>
          <w:szCs w:val="22"/>
        </w:rPr>
        <w:t xml:space="preserve">Personal Exemption </w:t>
      </w:r>
      <w:proofErr w:type="spellStart"/>
      <w:r w:rsidR="00D7261D" w:rsidRPr="00E37C81">
        <w:rPr>
          <w:rFonts w:asciiTheme="minorHAnsi" w:hAnsiTheme="minorHAnsi" w:cstheme="minorHAnsi"/>
          <w:b/>
          <w:i/>
          <w:sz w:val="22"/>
          <w:szCs w:val="22"/>
        </w:rPr>
        <w:t>Phaseout</w:t>
      </w:r>
      <w:proofErr w:type="spellEnd"/>
      <w:r w:rsidR="00590084" w:rsidRPr="00E37C81">
        <w:rPr>
          <w:rFonts w:asciiTheme="minorHAnsi" w:hAnsiTheme="minorHAnsi" w:cstheme="minorHAnsi"/>
          <w:b/>
          <w:i/>
          <w:sz w:val="22"/>
          <w:szCs w:val="22"/>
        </w:rPr>
        <w:t xml:space="preserve"> for certain taxpayers</w:t>
      </w:r>
      <w:r w:rsidR="00D7261D" w:rsidRPr="00E37C81">
        <w:rPr>
          <w:rFonts w:asciiTheme="minorHAnsi" w:hAnsiTheme="minorHAnsi" w:cstheme="minorHAnsi"/>
          <w:b/>
          <w:sz w:val="22"/>
          <w:szCs w:val="22"/>
        </w:rPr>
        <w:t>.</w:t>
      </w:r>
      <w:r w:rsidR="00D7261D" w:rsidRPr="00E37C81">
        <w:rPr>
          <w:rFonts w:asciiTheme="minorHAnsi" w:hAnsiTheme="minorHAnsi" w:cstheme="minorHAnsi"/>
          <w:sz w:val="22"/>
          <w:szCs w:val="22"/>
        </w:rPr>
        <w:t xml:space="preserve">  Personal exemptions allow a certain amount per person to be exempt from tax.  Due to the Personal Exemption Phase-out (“PEP”), the exemptions are phased out for taxpayers with AGI above a certain level.  The </w:t>
      </w:r>
      <w:r w:rsidR="00A804A0" w:rsidRPr="00E37C81">
        <w:rPr>
          <w:rFonts w:asciiTheme="minorHAnsi" w:hAnsiTheme="minorHAnsi" w:cstheme="minorHAnsi"/>
          <w:i/>
          <w:sz w:val="22"/>
          <w:szCs w:val="22"/>
        </w:rPr>
        <w:t>Economic Growth and Tax Relief Reconciliation Act of 2001</w:t>
      </w:r>
      <w:r w:rsidR="00A804A0" w:rsidRPr="00E37C81">
        <w:rPr>
          <w:rFonts w:asciiTheme="minorHAnsi" w:hAnsiTheme="minorHAnsi" w:cstheme="minorHAnsi"/>
          <w:sz w:val="22"/>
          <w:szCs w:val="22"/>
        </w:rPr>
        <w:t xml:space="preserve"> (EGTRRA) </w:t>
      </w:r>
      <w:r w:rsidR="00D7261D" w:rsidRPr="00E37C81">
        <w:rPr>
          <w:rFonts w:asciiTheme="minorHAnsi" w:hAnsiTheme="minorHAnsi" w:cstheme="minorHAnsi"/>
          <w:sz w:val="22"/>
          <w:szCs w:val="22"/>
        </w:rPr>
        <w:t xml:space="preserve">repealed PEP for 2010.  </w:t>
      </w:r>
      <w:r w:rsidR="00B02B34" w:rsidRPr="00E37C81">
        <w:rPr>
          <w:rFonts w:asciiTheme="minorHAnsi" w:hAnsiTheme="minorHAnsi" w:cstheme="minorHAnsi"/>
          <w:sz w:val="22"/>
          <w:szCs w:val="22"/>
        </w:rPr>
        <w:t xml:space="preserve">The </w:t>
      </w:r>
      <w:r w:rsidR="00A804A0" w:rsidRPr="00E37C81">
        <w:rPr>
          <w:rFonts w:asciiTheme="minorHAnsi" w:hAnsiTheme="minorHAnsi" w:cstheme="minorHAnsi"/>
          <w:i/>
          <w:sz w:val="22"/>
          <w:szCs w:val="22"/>
        </w:rPr>
        <w:t xml:space="preserve">Tax Relief, Unemployment Insurance Reauthorization and Job Creation Act of 2010 </w:t>
      </w:r>
      <w:r w:rsidR="00A804A0" w:rsidRPr="00E37C81">
        <w:rPr>
          <w:rFonts w:asciiTheme="minorHAnsi" w:hAnsiTheme="minorHAnsi" w:cstheme="minorHAnsi"/>
          <w:sz w:val="22"/>
          <w:szCs w:val="22"/>
        </w:rPr>
        <w:t xml:space="preserve">(TRUIRJCA) </w:t>
      </w:r>
      <w:r w:rsidR="00B02B34" w:rsidRPr="00E37C81">
        <w:rPr>
          <w:rFonts w:asciiTheme="minorHAnsi" w:hAnsiTheme="minorHAnsi" w:cstheme="minorHAnsi"/>
          <w:sz w:val="22"/>
          <w:szCs w:val="22"/>
        </w:rPr>
        <w:t xml:space="preserve">extended the repeal through 2012.  </w:t>
      </w:r>
      <w:r w:rsidR="00D7261D" w:rsidRPr="00E37C81">
        <w:rPr>
          <w:rFonts w:asciiTheme="minorHAnsi" w:hAnsiTheme="minorHAnsi" w:cstheme="minorHAnsi"/>
          <w:sz w:val="22"/>
          <w:szCs w:val="22"/>
        </w:rPr>
        <w:t xml:space="preserve">The </w:t>
      </w:r>
      <w:r w:rsidR="00683E62" w:rsidRPr="00E37C81">
        <w:rPr>
          <w:rFonts w:asciiTheme="minorHAnsi" w:hAnsiTheme="minorHAnsi" w:cstheme="minorHAnsi"/>
          <w:sz w:val="22"/>
          <w:szCs w:val="22"/>
        </w:rPr>
        <w:t>bill</w:t>
      </w:r>
      <w:r w:rsidR="00D7261D" w:rsidRPr="00E37C81">
        <w:rPr>
          <w:rFonts w:asciiTheme="minorHAnsi" w:hAnsiTheme="minorHAnsi" w:cstheme="minorHAnsi"/>
          <w:sz w:val="22"/>
          <w:szCs w:val="22"/>
        </w:rPr>
        <w:t xml:space="preserve"> </w:t>
      </w:r>
      <w:r w:rsidR="00223A4F" w:rsidRPr="00E37C81">
        <w:rPr>
          <w:rFonts w:asciiTheme="minorHAnsi" w:hAnsiTheme="minorHAnsi" w:cstheme="minorHAnsi"/>
          <w:sz w:val="22"/>
          <w:szCs w:val="22"/>
        </w:rPr>
        <w:t>extends the</w:t>
      </w:r>
      <w:r w:rsidR="00D53B4F" w:rsidRPr="00E37C81">
        <w:rPr>
          <w:rFonts w:asciiTheme="minorHAnsi" w:hAnsiTheme="minorHAnsi" w:cstheme="minorHAnsi"/>
          <w:sz w:val="22"/>
          <w:szCs w:val="22"/>
        </w:rPr>
        <w:t xml:space="preserve"> repeal of PEP </w:t>
      </w:r>
      <w:r w:rsidR="00155D28" w:rsidRPr="00E37C81">
        <w:rPr>
          <w:rFonts w:asciiTheme="minorHAnsi" w:hAnsiTheme="minorHAnsi" w:cstheme="minorHAnsi"/>
          <w:sz w:val="22"/>
          <w:szCs w:val="22"/>
        </w:rPr>
        <w:t xml:space="preserve">on income </w:t>
      </w:r>
      <w:r w:rsidR="00166635" w:rsidRPr="00E37C81">
        <w:rPr>
          <w:rFonts w:asciiTheme="minorHAnsi" w:hAnsiTheme="minorHAnsi" w:cstheme="minorHAnsi"/>
          <w:sz w:val="22"/>
          <w:szCs w:val="22"/>
        </w:rPr>
        <w:t xml:space="preserve">at or </w:t>
      </w:r>
      <w:r w:rsidR="00155D28" w:rsidRPr="00E37C81">
        <w:rPr>
          <w:rFonts w:asciiTheme="minorHAnsi" w:hAnsiTheme="minorHAnsi" w:cstheme="minorHAnsi"/>
          <w:sz w:val="22"/>
          <w:szCs w:val="22"/>
        </w:rPr>
        <w:t>below $</w:t>
      </w:r>
      <w:r w:rsidRPr="00E37C81">
        <w:rPr>
          <w:rFonts w:asciiTheme="minorHAnsi" w:hAnsiTheme="minorHAnsi" w:cstheme="minorHAnsi"/>
          <w:sz w:val="22"/>
          <w:szCs w:val="22"/>
        </w:rPr>
        <w:t>250</w:t>
      </w:r>
      <w:r w:rsidR="00155D28" w:rsidRPr="00E37C81">
        <w:rPr>
          <w:rFonts w:asciiTheme="minorHAnsi" w:hAnsiTheme="minorHAnsi" w:cstheme="minorHAnsi"/>
          <w:sz w:val="22"/>
          <w:szCs w:val="22"/>
        </w:rPr>
        <w:t>,000 (individual filers)</w:t>
      </w:r>
      <w:r w:rsidR="00895980" w:rsidRPr="00E37C81">
        <w:rPr>
          <w:rFonts w:asciiTheme="minorHAnsi" w:hAnsiTheme="minorHAnsi" w:cstheme="minorHAnsi"/>
          <w:sz w:val="22"/>
          <w:szCs w:val="22"/>
        </w:rPr>
        <w:t>, $</w:t>
      </w:r>
      <w:r w:rsidRPr="00E37C81">
        <w:rPr>
          <w:rFonts w:asciiTheme="minorHAnsi" w:hAnsiTheme="minorHAnsi" w:cstheme="minorHAnsi"/>
          <w:sz w:val="22"/>
          <w:szCs w:val="22"/>
        </w:rPr>
        <w:t>275</w:t>
      </w:r>
      <w:r w:rsidR="00895980" w:rsidRPr="00E37C81">
        <w:rPr>
          <w:rFonts w:asciiTheme="minorHAnsi" w:hAnsiTheme="minorHAnsi" w:cstheme="minorHAnsi"/>
          <w:sz w:val="22"/>
          <w:szCs w:val="22"/>
        </w:rPr>
        <w:t>,000 (heads of households)</w:t>
      </w:r>
      <w:r w:rsidR="00155D28" w:rsidRPr="00E37C81">
        <w:rPr>
          <w:rFonts w:asciiTheme="minorHAnsi" w:hAnsiTheme="minorHAnsi" w:cstheme="minorHAnsi"/>
          <w:sz w:val="22"/>
          <w:szCs w:val="22"/>
        </w:rPr>
        <w:t xml:space="preserve"> and $</w:t>
      </w:r>
      <w:r w:rsidRPr="00E37C81">
        <w:rPr>
          <w:rFonts w:asciiTheme="minorHAnsi" w:hAnsiTheme="minorHAnsi" w:cstheme="minorHAnsi"/>
          <w:sz w:val="22"/>
          <w:szCs w:val="22"/>
        </w:rPr>
        <w:t>300</w:t>
      </w:r>
      <w:r w:rsidR="00155D28" w:rsidRPr="00E37C81">
        <w:rPr>
          <w:rFonts w:asciiTheme="minorHAnsi" w:hAnsiTheme="minorHAnsi" w:cstheme="minorHAnsi"/>
          <w:sz w:val="22"/>
          <w:szCs w:val="22"/>
        </w:rPr>
        <w:t xml:space="preserve">,000 (married filing jointly) for </w:t>
      </w:r>
      <w:r w:rsidRPr="00E37C81">
        <w:rPr>
          <w:rFonts w:asciiTheme="minorHAnsi" w:hAnsiTheme="minorHAnsi" w:cstheme="minorHAnsi"/>
          <w:sz w:val="22"/>
        </w:rPr>
        <w:t>taxable years beginning after December 31, 201</w:t>
      </w:r>
      <w:r w:rsidR="0093576C" w:rsidRPr="00E37C81">
        <w:rPr>
          <w:rFonts w:asciiTheme="minorHAnsi" w:hAnsiTheme="minorHAnsi" w:cstheme="minorHAnsi"/>
          <w:sz w:val="22"/>
        </w:rPr>
        <w:t>2</w:t>
      </w:r>
      <w:r w:rsidR="00155D28" w:rsidRPr="00E37C81">
        <w:rPr>
          <w:rFonts w:asciiTheme="minorHAnsi" w:hAnsiTheme="minorHAnsi" w:cstheme="minorHAnsi"/>
          <w:sz w:val="22"/>
          <w:szCs w:val="22"/>
        </w:rPr>
        <w:t xml:space="preserve">.  </w:t>
      </w:r>
    </w:p>
    <w:p w:rsidR="000668F4" w:rsidRPr="00E37C81" w:rsidRDefault="000668F4" w:rsidP="000668F4">
      <w:pPr>
        <w:pStyle w:val="Heading3"/>
        <w:spacing w:before="40"/>
        <w:ind w:left="187"/>
        <w:rPr>
          <w:rFonts w:asciiTheme="minorHAnsi" w:hAnsiTheme="minorHAnsi"/>
          <w:b w:val="0"/>
          <w:i w:val="0"/>
          <w:sz w:val="22"/>
        </w:rPr>
      </w:pPr>
      <w:r w:rsidRPr="00E37C81">
        <w:rPr>
          <w:rFonts w:asciiTheme="minorHAnsi" w:hAnsiTheme="minorHAnsi"/>
          <w:b w:val="0"/>
          <w:iCs/>
          <w:sz w:val="22"/>
        </w:rPr>
        <w:t>Th</w:t>
      </w:r>
      <w:r w:rsidR="0040227E" w:rsidRPr="00E37C81">
        <w:rPr>
          <w:rFonts w:asciiTheme="minorHAnsi" w:hAnsiTheme="minorHAnsi"/>
          <w:b w:val="0"/>
          <w:iCs/>
          <w:sz w:val="22"/>
        </w:rPr>
        <w:t>e combined cost of th</w:t>
      </w:r>
      <w:r w:rsidRPr="00E37C81">
        <w:rPr>
          <w:rFonts w:asciiTheme="minorHAnsi" w:hAnsiTheme="minorHAnsi"/>
          <w:b w:val="0"/>
          <w:iCs/>
          <w:sz w:val="22"/>
        </w:rPr>
        <w:t>is provision</w:t>
      </w:r>
      <w:r w:rsidR="0040227E" w:rsidRPr="00E37C81">
        <w:rPr>
          <w:rFonts w:asciiTheme="minorHAnsi" w:hAnsiTheme="minorHAnsi"/>
          <w:b w:val="0"/>
          <w:iCs/>
          <w:sz w:val="22"/>
        </w:rPr>
        <w:t xml:space="preserve"> and the one described below</w:t>
      </w:r>
      <w:r w:rsidRPr="00E37C81">
        <w:rPr>
          <w:rFonts w:asciiTheme="minorHAnsi" w:hAnsiTheme="minorHAnsi"/>
          <w:b w:val="0"/>
          <w:iCs/>
          <w:sz w:val="22"/>
        </w:rPr>
        <w:t xml:space="preserve"> is estimated to </w:t>
      </w:r>
      <w:r w:rsidR="0040227E" w:rsidRPr="00E37C81">
        <w:rPr>
          <w:rFonts w:asciiTheme="minorHAnsi" w:hAnsiTheme="minorHAnsi"/>
          <w:b w:val="0"/>
          <w:iCs/>
          <w:sz w:val="22"/>
        </w:rPr>
        <w:t>be</w:t>
      </w:r>
      <w:r w:rsidRPr="00E37C81">
        <w:rPr>
          <w:rFonts w:asciiTheme="minorHAnsi" w:hAnsiTheme="minorHAnsi"/>
          <w:b w:val="0"/>
          <w:iCs/>
          <w:sz w:val="22"/>
        </w:rPr>
        <w:t xml:space="preserve"> $10.514 billion over ten years</w:t>
      </w:r>
      <w:r w:rsidR="00B446B4" w:rsidRPr="00E37C81">
        <w:rPr>
          <w:rFonts w:asciiTheme="minorHAnsi" w:hAnsiTheme="minorHAnsi"/>
          <w:b w:val="0"/>
          <w:iCs/>
          <w:sz w:val="22"/>
        </w:rPr>
        <w:t>.</w:t>
      </w:r>
      <w:r w:rsidR="00B446B4" w:rsidRPr="00E37C81">
        <w:rPr>
          <w:rStyle w:val="FootnoteReference"/>
          <w:rFonts w:asciiTheme="minorHAnsi" w:hAnsiTheme="minorHAnsi"/>
          <w:b w:val="0"/>
          <w:iCs/>
          <w:sz w:val="22"/>
        </w:rPr>
        <w:footnoteReference w:id="3"/>
      </w:r>
      <w:r w:rsidRPr="00E37C81">
        <w:rPr>
          <w:rFonts w:asciiTheme="minorHAnsi" w:hAnsiTheme="minorHAnsi"/>
          <w:b w:val="0"/>
          <w:iCs/>
          <w:sz w:val="22"/>
        </w:rPr>
        <w:t xml:space="preserve"> </w:t>
      </w:r>
    </w:p>
    <w:p w:rsidR="00B771E6" w:rsidRPr="00E37C81" w:rsidRDefault="00B771E6" w:rsidP="00B771E6">
      <w:pPr>
        <w:spacing w:after="0" w:line="240" w:lineRule="auto"/>
        <w:ind w:left="180"/>
        <w:rPr>
          <w:rFonts w:asciiTheme="minorHAnsi" w:hAnsiTheme="minorHAnsi" w:cstheme="minorHAnsi"/>
          <w:sz w:val="28"/>
          <w:szCs w:val="28"/>
        </w:rPr>
      </w:pPr>
    </w:p>
    <w:p w:rsidR="00001FC7" w:rsidRPr="00E37C81" w:rsidRDefault="005226F0" w:rsidP="00C4181E">
      <w:pPr>
        <w:pStyle w:val="NoSpacing"/>
        <w:ind w:left="180"/>
        <w:contextualSpacing/>
        <w:rPr>
          <w:rFonts w:asciiTheme="minorHAnsi" w:hAnsiTheme="minorHAnsi" w:cstheme="minorHAnsi"/>
          <w:sz w:val="22"/>
          <w:szCs w:val="22"/>
        </w:rPr>
      </w:pPr>
      <w:r w:rsidRPr="00E37C81">
        <w:rPr>
          <w:rFonts w:asciiTheme="minorHAnsi" w:hAnsiTheme="minorHAnsi" w:cstheme="minorHAnsi"/>
          <w:b/>
          <w:i/>
          <w:sz w:val="22"/>
        </w:rPr>
        <w:t xml:space="preserve">Permanently </w:t>
      </w:r>
      <w:r w:rsidR="001A2A93" w:rsidRPr="00E37C81">
        <w:rPr>
          <w:rFonts w:asciiTheme="minorHAnsi" w:hAnsiTheme="minorHAnsi" w:cstheme="minorHAnsi"/>
          <w:b/>
          <w:i/>
          <w:sz w:val="22"/>
          <w:szCs w:val="22"/>
        </w:rPr>
        <w:t>r</w:t>
      </w:r>
      <w:r w:rsidR="00F32918" w:rsidRPr="00E37C81">
        <w:rPr>
          <w:rFonts w:asciiTheme="minorHAnsi" w:hAnsiTheme="minorHAnsi" w:cstheme="minorHAnsi"/>
          <w:b/>
          <w:i/>
          <w:sz w:val="22"/>
          <w:szCs w:val="22"/>
        </w:rPr>
        <w:t xml:space="preserve">epeal the </w:t>
      </w:r>
      <w:r w:rsidR="001A2A93" w:rsidRPr="00E37C81">
        <w:rPr>
          <w:rFonts w:asciiTheme="minorHAnsi" w:hAnsiTheme="minorHAnsi" w:cstheme="minorHAnsi"/>
          <w:b/>
          <w:i/>
          <w:sz w:val="22"/>
          <w:szCs w:val="22"/>
        </w:rPr>
        <w:t>i</w:t>
      </w:r>
      <w:r w:rsidR="00F32918" w:rsidRPr="00E37C81">
        <w:rPr>
          <w:rFonts w:asciiTheme="minorHAnsi" w:hAnsiTheme="minorHAnsi" w:cstheme="minorHAnsi"/>
          <w:b/>
          <w:i/>
          <w:sz w:val="22"/>
          <w:szCs w:val="22"/>
        </w:rPr>
        <w:t xml:space="preserve">temized </w:t>
      </w:r>
      <w:r w:rsidR="001A2A93" w:rsidRPr="00E37C81">
        <w:rPr>
          <w:rFonts w:asciiTheme="minorHAnsi" w:hAnsiTheme="minorHAnsi" w:cstheme="minorHAnsi"/>
          <w:b/>
          <w:i/>
          <w:sz w:val="22"/>
          <w:szCs w:val="22"/>
        </w:rPr>
        <w:t>d</w:t>
      </w:r>
      <w:r w:rsidR="00F32918" w:rsidRPr="00E37C81">
        <w:rPr>
          <w:rFonts w:asciiTheme="minorHAnsi" w:hAnsiTheme="minorHAnsi" w:cstheme="minorHAnsi"/>
          <w:b/>
          <w:i/>
          <w:sz w:val="22"/>
          <w:szCs w:val="22"/>
        </w:rPr>
        <w:t xml:space="preserve">eduction </w:t>
      </w:r>
      <w:r w:rsidR="001A2A93" w:rsidRPr="00E37C81">
        <w:rPr>
          <w:rFonts w:asciiTheme="minorHAnsi" w:hAnsiTheme="minorHAnsi" w:cstheme="minorHAnsi"/>
          <w:b/>
          <w:i/>
          <w:sz w:val="22"/>
          <w:szCs w:val="22"/>
        </w:rPr>
        <w:t>l</w:t>
      </w:r>
      <w:r w:rsidR="00F32918" w:rsidRPr="00E37C81">
        <w:rPr>
          <w:rFonts w:asciiTheme="minorHAnsi" w:hAnsiTheme="minorHAnsi" w:cstheme="minorHAnsi"/>
          <w:b/>
          <w:i/>
          <w:sz w:val="22"/>
          <w:szCs w:val="22"/>
        </w:rPr>
        <w:t>imitation</w:t>
      </w:r>
      <w:r w:rsidR="00590084" w:rsidRPr="00E37C81">
        <w:rPr>
          <w:rFonts w:asciiTheme="minorHAnsi" w:hAnsiTheme="minorHAnsi" w:cstheme="minorHAnsi"/>
          <w:b/>
          <w:i/>
          <w:sz w:val="22"/>
          <w:szCs w:val="22"/>
        </w:rPr>
        <w:t xml:space="preserve"> for certain taxpayers</w:t>
      </w:r>
      <w:r w:rsidR="00F32918" w:rsidRPr="00E37C81">
        <w:rPr>
          <w:rFonts w:asciiTheme="minorHAnsi" w:hAnsiTheme="minorHAnsi" w:cstheme="minorHAnsi"/>
          <w:b/>
          <w:i/>
          <w:sz w:val="22"/>
          <w:szCs w:val="22"/>
        </w:rPr>
        <w:t xml:space="preserve">. </w:t>
      </w:r>
      <w:r w:rsidR="00D7261D" w:rsidRPr="00E37C81">
        <w:rPr>
          <w:rFonts w:asciiTheme="minorHAnsi" w:hAnsiTheme="minorHAnsi" w:cstheme="minorHAnsi"/>
          <w:sz w:val="22"/>
          <w:szCs w:val="22"/>
        </w:rPr>
        <w:t>Generally, taxpayers itemize deductions if the total deductions are more than the standard deduction amount.  Since 1991, the amount of itemized deductions that a taxpayer may claim has been reduced, to the extent the taxpayer’s AGI is above a certain amount.  This limitation is generally known as the “Pease limitation.” The EGTRRA repealed the Pease limitation on itemized deductions</w:t>
      </w:r>
      <w:r w:rsidR="00155D28" w:rsidRPr="00E37C81">
        <w:rPr>
          <w:rFonts w:asciiTheme="minorHAnsi" w:hAnsiTheme="minorHAnsi" w:cstheme="minorHAnsi"/>
          <w:sz w:val="22"/>
          <w:szCs w:val="22"/>
        </w:rPr>
        <w:t xml:space="preserve"> for 201</w:t>
      </w:r>
      <w:r w:rsidR="00B02B34" w:rsidRPr="00E37C81">
        <w:rPr>
          <w:rFonts w:asciiTheme="minorHAnsi" w:hAnsiTheme="minorHAnsi" w:cstheme="minorHAnsi"/>
          <w:sz w:val="22"/>
          <w:szCs w:val="22"/>
        </w:rPr>
        <w:t>0</w:t>
      </w:r>
      <w:r w:rsidR="00D7261D" w:rsidRPr="00E37C81">
        <w:rPr>
          <w:rFonts w:asciiTheme="minorHAnsi" w:hAnsiTheme="minorHAnsi" w:cstheme="minorHAnsi"/>
          <w:sz w:val="22"/>
          <w:szCs w:val="22"/>
        </w:rPr>
        <w:t xml:space="preserve">.  </w:t>
      </w:r>
      <w:r w:rsidR="00B02B34" w:rsidRPr="00E37C81">
        <w:rPr>
          <w:rFonts w:asciiTheme="minorHAnsi" w:hAnsiTheme="minorHAnsi" w:cstheme="minorHAnsi"/>
          <w:sz w:val="22"/>
          <w:szCs w:val="22"/>
        </w:rPr>
        <w:t xml:space="preserve">The </w:t>
      </w:r>
      <w:r w:rsidR="0093576C" w:rsidRPr="00E37C81">
        <w:rPr>
          <w:rFonts w:asciiTheme="minorHAnsi" w:hAnsiTheme="minorHAnsi" w:cstheme="minorHAnsi"/>
          <w:sz w:val="22"/>
          <w:szCs w:val="22"/>
        </w:rPr>
        <w:t>TRUIRJCA</w:t>
      </w:r>
      <w:r w:rsidR="00B02B34" w:rsidRPr="00E37C81">
        <w:rPr>
          <w:rFonts w:asciiTheme="minorHAnsi" w:hAnsiTheme="minorHAnsi" w:cstheme="minorHAnsi"/>
          <w:sz w:val="22"/>
          <w:szCs w:val="22"/>
        </w:rPr>
        <w:t xml:space="preserve"> extended the repeal through 2012. </w:t>
      </w:r>
      <w:r w:rsidR="00D7261D" w:rsidRPr="00E37C81">
        <w:rPr>
          <w:rFonts w:asciiTheme="minorHAnsi" w:hAnsiTheme="minorHAnsi" w:cstheme="minorHAnsi"/>
          <w:sz w:val="22"/>
          <w:szCs w:val="22"/>
        </w:rPr>
        <w:t xml:space="preserve">The </w:t>
      </w:r>
      <w:r w:rsidR="00683E62" w:rsidRPr="00E37C81">
        <w:rPr>
          <w:rFonts w:asciiTheme="minorHAnsi" w:hAnsiTheme="minorHAnsi" w:cstheme="minorHAnsi"/>
          <w:sz w:val="22"/>
          <w:szCs w:val="22"/>
        </w:rPr>
        <w:t>bill</w:t>
      </w:r>
      <w:r w:rsidR="00D7261D" w:rsidRPr="00E37C81">
        <w:rPr>
          <w:rFonts w:asciiTheme="minorHAnsi" w:hAnsiTheme="minorHAnsi" w:cstheme="minorHAnsi"/>
          <w:sz w:val="22"/>
          <w:szCs w:val="22"/>
        </w:rPr>
        <w:t xml:space="preserve"> </w:t>
      </w:r>
      <w:r w:rsidR="00223A4F" w:rsidRPr="00E37C81">
        <w:rPr>
          <w:rFonts w:asciiTheme="minorHAnsi" w:hAnsiTheme="minorHAnsi" w:cstheme="minorHAnsi"/>
          <w:sz w:val="22"/>
          <w:szCs w:val="22"/>
        </w:rPr>
        <w:t>extends</w:t>
      </w:r>
      <w:r w:rsidR="00D53B4F" w:rsidRPr="00E37C81">
        <w:rPr>
          <w:rFonts w:asciiTheme="minorHAnsi" w:hAnsiTheme="minorHAnsi" w:cstheme="minorHAnsi"/>
          <w:sz w:val="22"/>
          <w:szCs w:val="22"/>
        </w:rPr>
        <w:t xml:space="preserve"> the re</w:t>
      </w:r>
      <w:r w:rsidR="00155D28" w:rsidRPr="00E37C81">
        <w:rPr>
          <w:rFonts w:asciiTheme="minorHAnsi" w:hAnsiTheme="minorHAnsi" w:cstheme="minorHAnsi"/>
          <w:sz w:val="22"/>
          <w:szCs w:val="22"/>
        </w:rPr>
        <w:t xml:space="preserve">peal of the Pease limitation on income </w:t>
      </w:r>
      <w:r w:rsidR="00166635" w:rsidRPr="00E37C81">
        <w:rPr>
          <w:rFonts w:asciiTheme="minorHAnsi" w:hAnsiTheme="minorHAnsi" w:cstheme="minorHAnsi"/>
          <w:sz w:val="22"/>
          <w:szCs w:val="22"/>
        </w:rPr>
        <w:t xml:space="preserve">at or </w:t>
      </w:r>
      <w:r w:rsidR="00155D28" w:rsidRPr="00E37C81">
        <w:rPr>
          <w:rFonts w:asciiTheme="minorHAnsi" w:hAnsiTheme="minorHAnsi" w:cstheme="minorHAnsi"/>
          <w:sz w:val="22"/>
          <w:szCs w:val="22"/>
        </w:rPr>
        <w:t xml:space="preserve">below </w:t>
      </w:r>
      <w:r w:rsidR="00155D28" w:rsidRPr="00E37C81">
        <w:rPr>
          <w:rFonts w:asciiTheme="minorHAnsi" w:hAnsiTheme="minorHAnsi" w:cstheme="minorHAnsi"/>
          <w:sz w:val="22"/>
          <w:szCs w:val="22"/>
        </w:rPr>
        <w:lastRenderedPageBreak/>
        <w:t>$</w:t>
      </w:r>
      <w:r w:rsidRPr="00E37C81">
        <w:rPr>
          <w:rFonts w:asciiTheme="minorHAnsi" w:hAnsiTheme="minorHAnsi" w:cstheme="minorHAnsi"/>
          <w:sz w:val="22"/>
          <w:szCs w:val="22"/>
        </w:rPr>
        <w:t>250</w:t>
      </w:r>
      <w:r w:rsidR="00155D28" w:rsidRPr="00E37C81">
        <w:rPr>
          <w:rFonts w:asciiTheme="minorHAnsi" w:hAnsiTheme="minorHAnsi" w:cstheme="minorHAnsi"/>
          <w:sz w:val="22"/>
          <w:szCs w:val="22"/>
        </w:rPr>
        <w:t>,000 (individual filers)</w:t>
      </w:r>
      <w:r w:rsidR="00895980" w:rsidRPr="00E37C81">
        <w:rPr>
          <w:rFonts w:asciiTheme="minorHAnsi" w:hAnsiTheme="minorHAnsi" w:cstheme="minorHAnsi"/>
          <w:sz w:val="22"/>
          <w:szCs w:val="22"/>
        </w:rPr>
        <w:t>, $</w:t>
      </w:r>
      <w:r w:rsidRPr="00E37C81">
        <w:rPr>
          <w:rFonts w:asciiTheme="minorHAnsi" w:hAnsiTheme="minorHAnsi" w:cstheme="minorHAnsi"/>
          <w:sz w:val="22"/>
          <w:szCs w:val="22"/>
        </w:rPr>
        <w:t>275</w:t>
      </w:r>
      <w:r w:rsidR="00895980" w:rsidRPr="00E37C81">
        <w:rPr>
          <w:rFonts w:asciiTheme="minorHAnsi" w:hAnsiTheme="minorHAnsi" w:cstheme="minorHAnsi"/>
          <w:sz w:val="22"/>
          <w:szCs w:val="22"/>
        </w:rPr>
        <w:t>,000 (heads of households)</w:t>
      </w:r>
      <w:r w:rsidR="00155D28" w:rsidRPr="00E37C81">
        <w:rPr>
          <w:rFonts w:asciiTheme="minorHAnsi" w:hAnsiTheme="minorHAnsi" w:cstheme="minorHAnsi"/>
          <w:sz w:val="22"/>
          <w:szCs w:val="22"/>
        </w:rPr>
        <w:t xml:space="preserve"> and $</w:t>
      </w:r>
      <w:r w:rsidRPr="00E37C81">
        <w:rPr>
          <w:rFonts w:asciiTheme="minorHAnsi" w:hAnsiTheme="minorHAnsi" w:cstheme="minorHAnsi"/>
          <w:sz w:val="22"/>
          <w:szCs w:val="22"/>
        </w:rPr>
        <w:t>30</w:t>
      </w:r>
      <w:r w:rsidR="00155D28" w:rsidRPr="00E37C81">
        <w:rPr>
          <w:rFonts w:asciiTheme="minorHAnsi" w:hAnsiTheme="minorHAnsi" w:cstheme="minorHAnsi"/>
          <w:sz w:val="22"/>
          <w:szCs w:val="22"/>
        </w:rPr>
        <w:t xml:space="preserve">0,000 (married filing jointly) for </w:t>
      </w:r>
      <w:r w:rsidRPr="00E37C81">
        <w:rPr>
          <w:rFonts w:asciiTheme="minorHAnsi" w:hAnsiTheme="minorHAnsi" w:cstheme="minorHAnsi"/>
          <w:sz w:val="22"/>
        </w:rPr>
        <w:t>taxable years beginning after December 31, 201</w:t>
      </w:r>
      <w:r w:rsidR="0093576C" w:rsidRPr="00E37C81">
        <w:rPr>
          <w:rFonts w:asciiTheme="minorHAnsi" w:hAnsiTheme="minorHAnsi" w:cstheme="minorHAnsi"/>
          <w:sz w:val="22"/>
        </w:rPr>
        <w:t>2</w:t>
      </w:r>
      <w:r w:rsidR="00155D28" w:rsidRPr="00E37C81">
        <w:rPr>
          <w:rFonts w:asciiTheme="minorHAnsi" w:hAnsiTheme="minorHAnsi" w:cstheme="minorHAnsi"/>
          <w:sz w:val="22"/>
          <w:szCs w:val="22"/>
        </w:rPr>
        <w:t xml:space="preserve">.  </w:t>
      </w:r>
    </w:p>
    <w:p w:rsidR="0040227E" w:rsidRPr="00E37C81" w:rsidRDefault="0040227E" w:rsidP="0040227E">
      <w:pPr>
        <w:pStyle w:val="Heading3"/>
        <w:spacing w:before="40"/>
        <w:ind w:left="187"/>
        <w:rPr>
          <w:rFonts w:asciiTheme="minorHAnsi" w:hAnsiTheme="minorHAnsi"/>
          <w:b w:val="0"/>
          <w:i w:val="0"/>
          <w:sz w:val="22"/>
        </w:rPr>
      </w:pPr>
      <w:r w:rsidRPr="00E37C81">
        <w:rPr>
          <w:rFonts w:asciiTheme="minorHAnsi" w:hAnsiTheme="minorHAnsi"/>
          <w:b w:val="0"/>
          <w:iCs/>
          <w:sz w:val="22"/>
        </w:rPr>
        <w:t>The combined cost of this provision and the one described above is estimated to be $10.514 billion over ten years</w:t>
      </w:r>
      <w:r w:rsidR="00B446B4" w:rsidRPr="00E37C81">
        <w:rPr>
          <w:rFonts w:asciiTheme="minorHAnsi" w:hAnsiTheme="minorHAnsi"/>
          <w:b w:val="0"/>
          <w:iCs/>
          <w:sz w:val="22"/>
        </w:rPr>
        <w:t>.</w:t>
      </w:r>
      <w:r w:rsidR="00B446B4" w:rsidRPr="00E37C81">
        <w:rPr>
          <w:rStyle w:val="FootnoteReference"/>
          <w:rFonts w:asciiTheme="minorHAnsi" w:hAnsiTheme="minorHAnsi"/>
          <w:b w:val="0"/>
          <w:iCs/>
          <w:sz w:val="22"/>
        </w:rPr>
        <w:footnoteReference w:id="4"/>
      </w:r>
      <w:r w:rsidRPr="00E37C81">
        <w:rPr>
          <w:rFonts w:asciiTheme="minorHAnsi" w:hAnsiTheme="minorHAnsi"/>
          <w:b w:val="0"/>
          <w:iCs/>
          <w:sz w:val="22"/>
        </w:rPr>
        <w:t xml:space="preserve"> </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pStyle w:val="NoSpacing"/>
        <w:ind w:left="180"/>
        <w:rPr>
          <w:rFonts w:asciiTheme="minorHAnsi" w:hAnsiTheme="minorHAnsi" w:cstheme="minorHAnsi"/>
          <w:sz w:val="22"/>
          <w:szCs w:val="22"/>
        </w:rPr>
      </w:pPr>
      <w:r w:rsidRPr="00E37C81">
        <w:rPr>
          <w:rFonts w:asciiTheme="minorHAnsi" w:hAnsiTheme="minorHAnsi" w:cstheme="minorHAnsi"/>
          <w:b/>
          <w:i/>
          <w:sz w:val="22"/>
        </w:rPr>
        <w:t xml:space="preserve">Permanently </w:t>
      </w:r>
      <w:r w:rsidRPr="00E37C81">
        <w:rPr>
          <w:rFonts w:asciiTheme="minorHAnsi" w:hAnsiTheme="minorHAnsi" w:cstheme="minorHAnsi"/>
          <w:b/>
          <w:i/>
          <w:sz w:val="22"/>
          <w:szCs w:val="22"/>
        </w:rPr>
        <w:t>extend the 2001 modifications to the child tax credit.</w:t>
      </w:r>
      <w:r w:rsidRPr="00E37C81">
        <w:rPr>
          <w:rFonts w:asciiTheme="minorHAnsi" w:hAnsiTheme="minorHAnsi" w:cstheme="minorHAnsi"/>
          <w:i/>
          <w:sz w:val="22"/>
          <w:szCs w:val="22"/>
        </w:rPr>
        <w:t xml:space="preserve">  </w:t>
      </w:r>
      <w:r w:rsidRPr="00E37C81">
        <w:rPr>
          <w:rFonts w:asciiTheme="minorHAnsi" w:hAnsiTheme="minorHAnsi" w:cstheme="minorHAnsi"/>
          <w:sz w:val="22"/>
          <w:szCs w:val="22"/>
        </w:rPr>
        <w:t xml:space="preserve">Generally, taxpayers with income below certain threshold amounts may claim the child tax credit to reduce federal income tax for each qualifying child under the age of 17.  The EGTRRA increased the credit from $500 to $1,000 and expanded </w:t>
      </w:r>
      <w:proofErr w:type="spellStart"/>
      <w:r w:rsidRPr="00E37C81">
        <w:rPr>
          <w:rFonts w:asciiTheme="minorHAnsi" w:hAnsiTheme="minorHAnsi" w:cstheme="minorHAnsi"/>
          <w:sz w:val="22"/>
          <w:szCs w:val="22"/>
        </w:rPr>
        <w:t>refundability</w:t>
      </w:r>
      <w:proofErr w:type="spellEnd"/>
      <w:r w:rsidRPr="00E37C81">
        <w:rPr>
          <w:rFonts w:asciiTheme="minorHAnsi" w:hAnsiTheme="minorHAnsi" w:cstheme="minorHAnsi"/>
          <w:sz w:val="22"/>
          <w:szCs w:val="22"/>
        </w:rPr>
        <w:t xml:space="preserve">.  The amount that may be claimed as a refund was 15% of earnings above $10,000.  The bill extends this provision for </w:t>
      </w:r>
      <w:r w:rsidRPr="00E37C81">
        <w:rPr>
          <w:rFonts w:asciiTheme="minorHAnsi" w:hAnsiTheme="minorHAnsi" w:cstheme="minorHAnsi"/>
          <w:sz w:val="22"/>
        </w:rPr>
        <w:t>taxable years beginning after December 31, 2012</w:t>
      </w:r>
      <w:r w:rsidRPr="00E37C81">
        <w:rPr>
          <w:rFonts w:asciiTheme="minorHAnsi" w:hAnsiTheme="minorHAnsi" w:cstheme="minorHAnsi"/>
          <w:sz w:val="22"/>
          <w:szCs w:val="22"/>
        </w:rPr>
        <w:t xml:space="preserve">.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$354.493 billion over ten years.</w:t>
      </w:r>
    </w:p>
    <w:p w:rsidR="00120E02" w:rsidRPr="00120E02" w:rsidRDefault="00120E02" w:rsidP="00120E02">
      <w:pPr>
        <w:spacing w:after="0" w:line="240" w:lineRule="auto"/>
        <w:rPr>
          <w:rFonts w:asciiTheme="minorHAnsi" w:hAnsiTheme="minorHAnsi" w:cstheme="minorHAnsi"/>
          <w:b/>
          <w:sz w:val="28"/>
          <w:szCs w:val="28"/>
          <w:u w:val="single"/>
        </w:rPr>
      </w:pPr>
    </w:p>
    <w:p w:rsidR="00120E02" w:rsidRPr="00E37C81" w:rsidRDefault="00120E02" w:rsidP="00120E02">
      <w:pPr>
        <w:pStyle w:val="NoSpacing"/>
        <w:ind w:left="180"/>
        <w:rPr>
          <w:rFonts w:asciiTheme="minorHAnsi" w:hAnsiTheme="minorHAnsi" w:cstheme="minorHAnsi"/>
          <w:sz w:val="22"/>
          <w:szCs w:val="22"/>
        </w:rPr>
      </w:pPr>
      <w:r w:rsidRPr="00E37C81">
        <w:rPr>
          <w:rFonts w:asciiTheme="minorHAnsi" w:hAnsiTheme="minorHAnsi" w:cstheme="minorHAnsi"/>
          <w:b/>
          <w:i/>
          <w:sz w:val="22"/>
        </w:rPr>
        <w:t xml:space="preserve">Permanently </w:t>
      </w:r>
      <w:r w:rsidRPr="00E37C81">
        <w:rPr>
          <w:rFonts w:asciiTheme="minorHAnsi" w:hAnsiTheme="minorHAnsi" w:cstheme="minorHAnsi"/>
          <w:b/>
          <w:i/>
          <w:sz w:val="22"/>
          <w:szCs w:val="22"/>
        </w:rPr>
        <w:t>extend marriage penalty relief</w:t>
      </w:r>
      <w:r w:rsidRPr="00E37C81">
        <w:rPr>
          <w:rFonts w:asciiTheme="minorHAnsi" w:hAnsiTheme="minorHAnsi" w:cstheme="minorHAnsi"/>
          <w:b/>
          <w:sz w:val="22"/>
          <w:szCs w:val="22"/>
        </w:rPr>
        <w:t>.</w:t>
      </w:r>
      <w:r w:rsidRPr="00E37C81">
        <w:rPr>
          <w:rFonts w:asciiTheme="minorHAnsi" w:hAnsiTheme="minorHAnsi" w:cstheme="minorHAnsi"/>
          <w:sz w:val="22"/>
          <w:szCs w:val="22"/>
        </w:rPr>
        <w:t xml:space="preserve">  The bill extends the marriage penalty relief for the standard deduction, the 15% bracket, and the EITC for </w:t>
      </w:r>
      <w:r w:rsidRPr="00E37C81">
        <w:rPr>
          <w:rFonts w:asciiTheme="minorHAnsi" w:hAnsiTheme="minorHAnsi" w:cstheme="minorHAnsi"/>
          <w:sz w:val="22"/>
        </w:rPr>
        <w:t>taxable years beginning after December 31, 2012</w:t>
      </w:r>
      <w:r w:rsidRPr="00E37C81">
        <w:rPr>
          <w:rFonts w:asciiTheme="minorHAnsi" w:hAnsiTheme="minorHAnsi" w:cstheme="minorHAnsi"/>
          <w:sz w:val="22"/>
          <w:szCs w:val="22"/>
        </w:rPr>
        <w:t xml:space="preserve">.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$84.630 billion over ten years.</w:t>
      </w:r>
    </w:p>
    <w:p w:rsidR="00120E02" w:rsidRDefault="00120E02" w:rsidP="00120E02">
      <w:pPr>
        <w:spacing w:after="0" w:line="240" w:lineRule="auto"/>
        <w:ind w:left="180"/>
        <w:contextualSpacing/>
        <w:rPr>
          <w:rFonts w:asciiTheme="minorHAnsi" w:hAnsiTheme="minorHAnsi" w:cstheme="minorHAnsi"/>
          <w:b/>
          <w:i/>
          <w:sz w:val="22"/>
        </w:rPr>
      </w:pPr>
    </w:p>
    <w:p w:rsidR="00120E02" w:rsidRPr="00E37C81" w:rsidRDefault="00120E02" w:rsidP="00120E02">
      <w:pPr>
        <w:spacing w:after="0" w:line="240" w:lineRule="auto"/>
        <w:ind w:left="180"/>
        <w:contextualSpacing/>
        <w:rPr>
          <w:rFonts w:asciiTheme="minorHAnsi" w:hAnsiTheme="minorHAnsi" w:cstheme="minorHAnsi"/>
          <w:sz w:val="22"/>
        </w:rPr>
      </w:pPr>
      <w:r w:rsidRPr="00E37C81">
        <w:rPr>
          <w:rFonts w:asciiTheme="minorHAnsi" w:hAnsiTheme="minorHAnsi" w:cstheme="minorHAnsi"/>
          <w:b/>
          <w:i/>
          <w:sz w:val="22"/>
        </w:rPr>
        <w:t xml:space="preserve">Permanently extend expanded Coverdell Accounts.  </w:t>
      </w:r>
      <w:r w:rsidRPr="00E37C81">
        <w:rPr>
          <w:rFonts w:asciiTheme="minorHAnsi" w:hAnsiTheme="minorHAnsi" w:cstheme="minorHAnsi"/>
          <w:sz w:val="22"/>
        </w:rPr>
        <w:t xml:space="preserve">Coverdell Education Savings Accounts are tax-exempt savings accounts used to pay the higher education expenses of a designated beneficiary.  The EGTRRA increased the annual contribution amount from $500 to $2,000 and expanded the definition of education expenses to include elementary and secondary school expenses.  The bill extends the changes to Coverdell accounts for taxable years beginning after December 31, 2012.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$271 million over ten years.</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spacing w:after="0" w:line="240" w:lineRule="auto"/>
        <w:ind w:left="180"/>
        <w:contextualSpacing/>
        <w:rPr>
          <w:rFonts w:asciiTheme="minorHAnsi" w:hAnsiTheme="minorHAnsi" w:cstheme="minorHAnsi"/>
          <w:sz w:val="22"/>
        </w:rPr>
      </w:pPr>
      <w:r w:rsidRPr="00E37C81">
        <w:rPr>
          <w:rFonts w:asciiTheme="minorHAnsi" w:hAnsiTheme="minorHAnsi" w:cstheme="minorHAnsi"/>
          <w:b/>
          <w:i/>
          <w:sz w:val="22"/>
        </w:rPr>
        <w:t>Permanently extend the expanded exclusion for employer-provided educational assistance</w:t>
      </w:r>
      <w:r w:rsidRPr="00E37C81">
        <w:rPr>
          <w:rFonts w:asciiTheme="minorHAnsi" w:hAnsiTheme="minorHAnsi" w:cstheme="minorHAnsi"/>
          <w:b/>
          <w:sz w:val="22"/>
        </w:rPr>
        <w:t>.</w:t>
      </w:r>
      <w:r w:rsidRPr="00E37C81">
        <w:rPr>
          <w:rFonts w:asciiTheme="minorHAnsi" w:hAnsiTheme="minorHAnsi" w:cstheme="minorHAnsi"/>
          <w:sz w:val="22"/>
        </w:rPr>
        <w:t xml:space="preserve"> </w:t>
      </w:r>
      <w:r w:rsidRPr="00E37C81">
        <w:rPr>
          <w:rFonts w:asciiTheme="minorHAnsi" w:hAnsiTheme="minorHAnsi" w:cstheme="minorHAnsi"/>
          <w:bCs/>
          <w:sz w:val="22"/>
        </w:rPr>
        <w:t xml:space="preserve">An employee may exclude from gross income up to $5,250 for income and employment tax purposes per year of employer-provided education assistance.  Prior to 2001, this incentive was temporary and only applied to undergraduate courses.  </w:t>
      </w:r>
      <w:r w:rsidRPr="00E37C81">
        <w:rPr>
          <w:rFonts w:asciiTheme="minorHAnsi" w:hAnsiTheme="minorHAnsi" w:cstheme="minorHAnsi"/>
          <w:sz w:val="22"/>
        </w:rPr>
        <w:t xml:space="preserve">The EGTRRA expanded this provision to graduate education and extended the provision for undergraduate and graduate education.  The bill extends the changes to this provision for taxable years beginning after December 31, 2012.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$11.477 billion over ten years.</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spacing w:after="0" w:line="240" w:lineRule="auto"/>
        <w:ind w:left="180"/>
        <w:contextualSpacing/>
        <w:rPr>
          <w:rFonts w:asciiTheme="minorHAnsi" w:hAnsiTheme="minorHAnsi" w:cstheme="minorHAnsi"/>
          <w:sz w:val="22"/>
        </w:rPr>
      </w:pPr>
      <w:r w:rsidRPr="00E37C81">
        <w:rPr>
          <w:rFonts w:asciiTheme="minorHAnsi" w:hAnsiTheme="minorHAnsi" w:cstheme="minorHAnsi"/>
          <w:b/>
          <w:i/>
          <w:sz w:val="22"/>
        </w:rPr>
        <w:t xml:space="preserve">Permanently extend the expanded student loan interest deduction.  </w:t>
      </w:r>
      <w:r w:rsidRPr="00E37C81">
        <w:rPr>
          <w:rFonts w:asciiTheme="minorHAnsi" w:hAnsiTheme="minorHAnsi" w:cstheme="minorHAnsi"/>
          <w:sz w:val="22"/>
        </w:rPr>
        <w:t xml:space="preserve">Certain individuals who have paid interest on qualified education loans may claim an above-the-line deduction for such interest expenses up to $2,500.  Prior to 2001, this benefit was only allowed for 60 months and phased-out for taxpayers with income between $40,000 and $55,000 ($60,000 and $75,000 for joint filers).  The EGTRRA eliminated the 60-month rule and increased the income phase-out to $55,000 to $70,000 ($110,000 and $140,000 for joint filers).  The bill extends the changes to this provision for taxable years beginning after December 31, 2012.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$9.676 billion over ten years.</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spacing w:after="0" w:line="240" w:lineRule="auto"/>
        <w:ind w:left="180"/>
        <w:contextualSpacing/>
        <w:rPr>
          <w:rFonts w:asciiTheme="minorHAnsi" w:hAnsiTheme="minorHAnsi" w:cstheme="minorHAnsi"/>
          <w:sz w:val="22"/>
        </w:rPr>
      </w:pPr>
      <w:r w:rsidRPr="00E37C81">
        <w:rPr>
          <w:rFonts w:asciiTheme="minorHAnsi" w:hAnsiTheme="minorHAnsi" w:cstheme="minorHAnsi"/>
          <w:b/>
          <w:i/>
          <w:sz w:val="22"/>
        </w:rPr>
        <w:t xml:space="preserve">Permanently extend the exclusion from income of amounts received under certain scholarship programs. </w:t>
      </w:r>
      <w:r w:rsidRPr="00E37C81">
        <w:rPr>
          <w:rFonts w:asciiTheme="minorHAnsi" w:hAnsiTheme="minorHAnsi" w:cstheme="minorHAnsi"/>
          <w:sz w:val="22"/>
        </w:rPr>
        <w:t xml:space="preserve"> Scholarships for qualified tuition and related expenses are excludible from income.  Qualified tuition reductions for certain education provided to employees are also excluded.  Generally, this exclusion does not apply to qualified scholarships or tuition reductions that represent payment for teaching, research, or other services.  The National Health Service Corps Scholarship Program and the F. Edward Hebert Armed Forces Health Professions Scholarship and Financial Assistance Program provide education awards to participants on the condition that the participants perform certain services.  The EGTRRA allowed the scholarship exclusion to apply to these programs.  The bill extends the changes to this provision for taxable years beginning after December 31, 2012.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$1.501 billion over ten years.</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spacing w:after="0" w:line="240" w:lineRule="auto"/>
        <w:ind w:left="180"/>
        <w:contextualSpacing/>
        <w:rPr>
          <w:rFonts w:asciiTheme="minorHAnsi" w:hAnsiTheme="minorHAnsi" w:cstheme="minorHAnsi"/>
          <w:sz w:val="22"/>
        </w:rPr>
      </w:pPr>
      <w:proofErr w:type="gramStart"/>
      <w:r w:rsidRPr="00E37C81">
        <w:rPr>
          <w:rFonts w:asciiTheme="minorHAnsi" w:hAnsiTheme="minorHAnsi" w:cstheme="minorHAnsi"/>
          <w:b/>
          <w:i/>
          <w:sz w:val="22"/>
        </w:rPr>
        <w:t>Arbitrage rebate exception for school construction bonds.</w:t>
      </w:r>
      <w:proofErr w:type="gramEnd"/>
      <w:r w:rsidRPr="00E37C81">
        <w:rPr>
          <w:rFonts w:asciiTheme="minorHAnsi" w:hAnsiTheme="minorHAnsi" w:cstheme="minorHAnsi"/>
          <w:sz w:val="22"/>
        </w:rPr>
        <w:t xml:space="preserve">  Under current law, issuers of tax-exempt bonds must rebate to the U.S. Treasury arbitrage (excess interest income) earned from the investment of tax-exempt bond proceeds in higher-yielding taxable securities.  The calculation of excess interest income can be complex, and as a result, many governments incur large costs to comply with the requirements.  To ease the burden on small issuers, the federal tax code exempts governments that issue a relatively small number of tax-exempt bonds in a given year from the requirement.  In general, the small issuer rebate exception can only be used by state and local governments that issue less than $5 million in governmental and 501(c</w:t>
      </w:r>
      <w:proofErr w:type="gramStart"/>
      <w:r w:rsidRPr="00E37C81">
        <w:rPr>
          <w:rFonts w:asciiTheme="minorHAnsi" w:hAnsiTheme="minorHAnsi" w:cstheme="minorHAnsi"/>
          <w:sz w:val="22"/>
        </w:rPr>
        <w:t>)(</w:t>
      </w:r>
      <w:proofErr w:type="gramEnd"/>
      <w:r w:rsidRPr="00E37C81">
        <w:rPr>
          <w:rFonts w:asciiTheme="minorHAnsi" w:hAnsiTheme="minorHAnsi" w:cstheme="minorHAnsi"/>
          <w:sz w:val="22"/>
        </w:rPr>
        <w:t xml:space="preserve">3) bonds annually.  This exception is $10 million for bonds issued for qualified educational facilities.  The EGTRRA increased the small-issuer arbitrage rebate exception for school construction from $10 million to $15 million.  The bill extends the $15 million arbitrage rebate exception for school construction for taxable years beginning after December 31, 2012.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$72 million over ten years.</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spacing w:after="0" w:line="240" w:lineRule="auto"/>
        <w:ind w:left="180"/>
        <w:contextualSpacing/>
        <w:rPr>
          <w:rFonts w:asciiTheme="minorHAnsi" w:hAnsiTheme="minorHAnsi" w:cstheme="minorHAnsi"/>
          <w:sz w:val="22"/>
        </w:rPr>
      </w:pPr>
      <w:r w:rsidRPr="00E37C81">
        <w:rPr>
          <w:rFonts w:asciiTheme="minorHAnsi" w:hAnsiTheme="minorHAnsi" w:cstheme="minorHAnsi"/>
          <w:b/>
          <w:i/>
          <w:sz w:val="22"/>
        </w:rPr>
        <w:t>Tax-exempt private activity bonds for qualified education facilities.</w:t>
      </w:r>
      <w:r w:rsidRPr="00E37C81">
        <w:rPr>
          <w:rFonts w:asciiTheme="minorHAnsi" w:hAnsiTheme="minorHAnsi" w:cstheme="minorHAnsi"/>
          <w:sz w:val="22"/>
        </w:rPr>
        <w:t xml:space="preserve">  Under current law, proceeds from private activity bonds issued by a state or local government qualify as tax-exempt if 95% or more of the net bond proceeds are used for a qualified purpose as defined by the Internal Revenue Code.  The EGTRRA expanded the definition of a private activity for which tax-exempt bonds may be issued to include bonds for qualified public educational facilities.  Bonds issued for qualified educational facilities are not counted against a state’s private-activity volume cap.  Instead, these bonds have their own volume capacity limit equal to the lesser of $10 per resident or $5 million.  The bill extends the allowance to issue tax-exempt private activity bonds for public school facilities for taxable years beginning after December 31, 2012.  </w:t>
      </w:r>
    </w:p>
    <w:p w:rsidR="00120E02" w:rsidRPr="00E37C81" w:rsidRDefault="00120E02" w:rsidP="00120E02">
      <w:pPr>
        <w:pStyle w:val="Heading3"/>
        <w:spacing w:before="40"/>
        <w:ind w:left="187"/>
        <w:rPr>
          <w:rFonts w:asciiTheme="minorHAnsi" w:hAnsiTheme="minorHAnsi"/>
          <w:b w:val="0"/>
          <w:iCs/>
          <w:sz w:val="22"/>
        </w:rPr>
      </w:pPr>
      <w:r w:rsidRPr="00E37C81">
        <w:rPr>
          <w:rFonts w:asciiTheme="minorHAnsi" w:hAnsiTheme="minorHAnsi"/>
          <w:b w:val="0"/>
          <w:iCs/>
          <w:sz w:val="22"/>
        </w:rPr>
        <w:t>This provision is estimated to cost $152 million over ten years.</w:t>
      </w:r>
    </w:p>
    <w:p w:rsidR="00120E02" w:rsidRPr="00120E02" w:rsidRDefault="00120E02" w:rsidP="00120E02">
      <w:pPr>
        <w:spacing w:after="0" w:line="240" w:lineRule="auto"/>
        <w:rPr>
          <w:rFonts w:asciiTheme="minorHAnsi" w:hAnsiTheme="minorHAnsi" w:cstheme="minorHAnsi"/>
          <w:b/>
          <w:sz w:val="28"/>
          <w:szCs w:val="28"/>
          <w:u w:val="single"/>
        </w:rPr>
      </w:pPr>
    </w:p>
    <w:p w:rsidR="00120E02" w:rsidRPr="00E37C81" w:rsidRDefault="00120E02" w:rsidP="00120E02">
      <w:pPr>
        <w:pStyle w:val="NoSpacing"/>
        <w:ind w:left="180"/>
        <w:rPr>
          <w:rFonts w:asciiTheme="minorHAnsi" w:hAnsiTheme="minorHAnsi" w:cstheme="minorHAnsi"/>
          <w:sz w:val="22"/>
          <w:szCs w:val="22"/>
        </w:rPr>
      </w:pPr>
      <w:r w:rsidRPr="00E37C81">
        <w:rPr>
          <w:rFonts w:asciiTheme="minorHAnsi" w:hAnsiTheme="minorHAnsi" w:cstheme="minorHAnsi"/>
          <w:b/>
          <w:i/>
          <w:sz w:val="22"/>
        </w:rPr>
        <w:t xml:space="preserve">Permanently </w:t>
      </w:r>
      <w:r w:rsidRPr="00E37C81">
        <w:rPr>
          <w:rFonts w:asciiTheme="minorHAnsi" w:hAnsiTheme="minorHAnsi" w:cstheme="minorHAnsi"/>
          <w:b/>
          <w:i/>
          <w:sz w:val="22"/>
          <w:szCs w:val="22"/>
        </w:rPr>
        <w:t>extend the expanded dependent care credit.</w:t>
      </w:r>
      <w:r w:rsidRPr="00E37C81">
        <w:rPr>
          <w:rFonts w:asciiTheme="minorHAnsi" w:hAnsiTheme="minorHAnsi" w:cstheme="minorHAnsi"/>
          <w:sz w:val="22"/>
          <w:szCs w:val="22"/>
        </w:rPr>
        <w:t xml:space="preserve"> The dependent care credit allows a taxpayer a credit for an applicable percentage of child care expenses for children </w:t>
      </w:r>
      <w:proofErr w:type="gramStart"/>
      <w:r w:rsidRPr="00E37C81">
        <w:rPr>
          <w:rFonts w:asciiTheme="minorHAnsi" w:hAnsiTheme="minorHAnsi" w:cstheme="minorHAnsi"/>
          <w:sz w:val="22"/>
          <w:szCs w:val="22"/>
        </w:rPr>
        <w:t>under</w:t>
      </w:r>
      <w:proofErr w:type="gramEnd"/>
      <w:r w:rsidRPr="00E37C81">
        <w:rPr>
          <w:rFonts w:asciiTheme="minorHAnsi" w:hAnsiTheme="minorHAnsi" w:cstheme="minorHAnsi"/>
          <w:sz w:val="22"/>
          <w:szCs w:val="22"/>
        </w:rPr>
        <w:t xml:space="preserve"> 13 and disabled dependents.  The EGTRRA increased the amount of eligible expenses from $2,400 for one child and $4,800 for two or more children to $3,000 and $6,000, respectively. The EGTRRA also increased the applicable percentage from 30% to 35%.  The bill extends the changes to the dependent care credit made by EGTRRA for </w:t>
      </w:r>
      <w:r w:rsidRPr="00E37C81">
        <w:rPr>
          <w:rFonts w:asciiTheme="minorHAnsi" w:hAnsiTheme="minorHAnsi" w:cstheme="minorHAnsi"/>
          <w:sz w:val="22"/>
        </w:rPr>
        <w:t>taxable years beginning after December 31, 2012</w:t>
      </w:r>
      <w:r w:rsidRPr="00E37C81">
        <w:rPr>
          <w:rFonts w:asciiTheme="minorHAnsi" w:hAnsiTheme="minorHAnsi" w:cstheme="minorHAnsi"/>
          <w:sz w:val="22"/>
          <w:szCs w:val="22"/>
        </w:rPr>
        <w:t xml:space="preserve">.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$1.791 billion over ten years.</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pStyle w:val="NoSpacing"/>
        <w:ind w:left="180"/>
        <w:rPr>
          <w:rFonts w:asciiTheme="minorHAnsi" w:hAnsiTheme="minorHAnsi" w:cstheme="minorHAnsi"/>
          <w:sz w:val="22"/>
          <w:szCs w:val="22"/>
        </w:rPr>
      </w:pPr>
      <w:r w:rsidRPr="00E37C81">
        <w:rPr>
          <w:rFonts w:asciiTheme="minorHAnsi" w:hAnsiTheme="minorHAnsi" w:cstheme="minorHAnsi"/>
          <w:b/>
          <w:i/>
          <w:sz w:val="22"/>
        </w:rPr>
        <w:t xml:space="preserve">Permanently </w:t>
      </w:r>
      <w:r w:rsidRPr="00E37C81">
        <w:rPr>
          <w:rFonts w:asciiTheme="minorHAnsi" w:hAnsiTheme="minorHAnsi" w:cstheme="minorHAnsi"/>
          <w:b/>
          <w:i/>
          <w:sz w:val="22"/>
          <w:szCs w:val="22"/>
        </w:rPr>
        <w:t>extend the increased adoption tax credit and the adoption assistance programs exclusion.</w:t>
      </w:r>
      <w:r w:rsidRPr="00E37C81">
        <w:rPr>
          <w:rFonts w:asciiTheme="minorHAnsi" w:hAnsiTheme="minorHAnsi" w:cstheme="minorHAnsi"/>
          <w:sz w:val="22"/>
          <w:szCs w:val="22"/>
        </w:rPr>
        <w:t xml:space="preserve"> Taxpayers that adopt children can receive a tax credit for qualified adoption expenses.  A taxpayer may also exclude from income adoption expenses paid by an employer.  The EGTRRA increased the credit from $5,000 ($6,000 for a special needs child) to $10,000, and </w:t>
      </w:r>
      <w:proofErr w:type="gramStart"/>
      <w:r w:rsidRPr="00E37C81">
        <w:rPr>
          <w:rFonts w:asciiTheme="minorHAnsi" w:hAnsiTheme="minorHAnsi" w:cstheme="minorHAnsi"/>
          <w:sz w:val="22"/>
          <w:szCs w:val="22"/>
        </w:rPr>
        <w:t>provided a $</w:t>
      </w:r>
      <w:proofErr w:type="gramEnd"/>
      <w:r w:rsidRPr="00E37C81">
        <w:rPr>
          <w:rFonts w:asciiTheme="minorHAnsi" w:hAnsiTheme="minorHAnsi" w:cstheme="minorHAnsi"/>
          <w:sz w:val="22"/>
          <w:szCs w:val="22"/>
        </w:rPr>
        <w:t xml:space="preserve">10,000 income exclusion for employer-assistance programs.  The Patient Protection and Affordable Care Act of 2010 extended these benefits to 2011 and made the credit refundable.  The bill extends for </w:t>
      </w:r>
      <w:r w:rsidRPr="00E37C81">
        <w:rPr>
          <w:rFonts w:asciiTheme="minorHAnsi" w:hAnsiTheme="minorHAnsi" w:cstheme="minorHAnsi"/>
          <w:sz w:val="22"/>
        </w:rPr>
        <w:t>taxable years beginning after December 31, 2012</w:t>
      </w:r>
      <w:r w:rsidRPr="00E37C81">
        <w:rPr>
          <w:rFonts w:asciiTheme="minorHAnsi" w:hAnsiTheme="minorHAnsi" w:cstheme="minorHAnsi"/>
          <w:sz w:val="22"/>
          <w:szCs w:val="22"/>
        </w:rPr>
        <w:t xml:space="preserve">, the increased adoption credit amount and the exclusion for employer-assistance programs as enacted in EGTRRA.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$5.580 billion over ten years.</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pStyle w:val="NoSpacing"/>
        <w:ind w:left="180"/>
        <w:rPr>
          <w:rFonts w:asciiTheme="minorHAnsi" w:hAnsiTheme="minorHAnsi" w:cstheme="minorHAnsi"/>
          <w:sz w:val="22"/>
          <w:szCs w:val="22"/>
        </w:rPr>
      </w:pPr>
      <w:r w:rsidRPr="00E37C81">
        <w:rPr>
          <w:rFonts w:asciiTheme="minorHAnsi" w:hAnsiTheme="minorHAnsi" w:cstheme="minorHAnsi"/>
          <w:b/>
          <w:i/>
          <w:sz w:val="22"/>
        </w:rPr>
        <w:t xml:space="preserve">Permanently </w:t>
      </w:r>
      <w:r w:rsidRPr="00E37C81">
        <w:rPr>
          <w:rFonts w:asciiTheme="minorHAnsi" w:hAnsiTheme="minorHAnsi" w:cstheme="minorHAnsi"/>
          <w:b/>
          <w:i/>
          <w:sz w:val="22"/>
          <w:szCs w:val="22"/>
        </w:rPr>
        <w:t>extend the credit for employer expenses for child care assistance.</w:t>
      </w:r>
      <w:r w:rsidRPr="00E37C81">
        <w:rPr>
          <w:rFonts w:asciiTheme="minorHAnsi" w:hAnsiTheme="minorHAnsi" w:cstheme="minorHAnsi"/>
          <w:sz w:val="22"/>
          <w:szCs w:val="22"/>
        </w:rPr>
        <w:t xml:space="preserve"> The EGTRRA provided employers with a credit of up to $150,000 for acquiring, constructing, rehabilitating or expanding property which is used for a child care facility.  The bill extends this provision for </w:t>
      </w:r>
      <w:r w:rsidRPr="00E37C81">
        <w:rPr>
          <w:rFonts w:asciiTheme="minorHAnsi" w:hAnsiTheme="minorHAnsi" w:cstheme="minorHAnsi"/>
          <w:sz w:val="22"/>
        </w:rPr>
        <w:t>taxable years beginning after December 31, 2012</w:t>
      </w:r>
      <w:r w:rsidRPr="00E37C81">
        <w:rPr>
          <w:rFonts w:asciiTheme="minorHAnsi" w:hAnsiTheme="minorHAnsi" w:cstheme="minorHAnsi"/>
          <w:sz w:val="22"/>
          <w:szCs w:val="22"/>
        </w:rPr>
        <w:t xml:space="preserve">.  </w:t>
      </w:r>
    </w:p>
    <w:p w:rsidR="00120E02" w:rsidRPr="00E37C81" w:rsidRDefault="00120E02" w:rsidP="00120E02">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$209 million over ten years.</w:t>
      </w:r>
    </w:p>
    <w:p w:rsidR="00120E02" w:rsidRPr="00120E02" w:rsidRDefault="00120E02" w:rsidP="00120E02">
      <w:pPr>
        <w:pStyle w:val="NoSpacing"/>
        <w:ind w:left="180"/>
        <w:rPr>
          <w:rFonts w:asciiTheme="minorHAnsi" w:hAnsiTheme="minorHAnsi" w:cstheme="minorHAnsi"/>
          <w:b/>
          <w:i/>
          <w:sz w:val="28"/>
          <w:szCs w:val="28"/>
        </w:rPr>
      </w:pPr>
    </w:p>
    <w:p w:rsidR="00120E02" w:rsidRPr="00E37C81" w:rsidRDefault="00120E02" w:rsidP="00120E02">
      <w:pPr>
        <w:pStyle w:val="NoSpacing"/>
        <w:ind w:left="180"/>
        <w:rPr>
          <w:rFonts w:asciiTheme="minorHAnsi" w:hAnsiTheme="minorHAnsi" w:cstheme="minorHAnsi"/>
          <w:bCs/>
          <w:iCs/>
          <w:sz w:val="22"/>
          <w:szCs w:val="22"/>
        </w:rPr>
      </w:pPr>
      <w:r w:rsidRPr="00E37C81">
        <w:rPr>
          <w:rFonts w:asciiTheme="minorHAnsi" w:hAnsiTheme="minorHAnsi" w:cstheme="minorHAnsi"/>
          <w:b/>
          <w:i/>
          <w:sz w:val="22"/>
        </w:rPr>
        <w:t xml:space="preserve">Permanently </w:t>
      </w:r>
      <w:r w:rsidRPr="00E37C81">
        <w:rPr>
          <w:rFonts w:asciiTheme="minorHAnsi" w:hAnsiTheme="minorHAnsi" w:cstheme="minorHAnsi"/>
          <w:b/>
          <w:bCs/>
          <w:i/>
          <w:iCs/>
          <w:sz w:val="22"/>
          <w:szCs w:val="22"/>
        </w:rPr>
        <w:t>extend tax relief for Alaska settlement funds.</w:t>
      </w:r>
      <w:r w:rsidRPr="00E37C81">
        <w:rPr>
          <w:rFonts w:asciiTheme="minorHAnsi" w:hAnsiTheme="minorHAnsi" w:cstheme="minorHAnsi"/>
          <w:bCs/>
          <w:iCs/>
          <w:sz w:val="22"/>
          <w:szCs w:val="22"/>
        </w:rPr>
        <w:t xml:space="preserve">  The EGTRRA allowed an election in which Alaska Native settlement trusts can elect to pay tax at the same rate as the lowest individual marginal rate, rather than the higher rates that generally apply to trusts.  Beneficiaries of the trust do not pay tax on the distributions of an electing trust’s taxable income.  Finally, contributions by an Alaska Native corporation to an electing trust will not be deemed distributions to the corporation’s shareholders.  The bill extends the elective tax treatment for Alaska Native settlement trusts for </w:t>
      </w:r>
      <w:r w:rsidRPr="00E37C81">
        <w:rPr>
          <w:rFonts w:asciiTheme="minorHAnsi" w:hAnsiTheme="minorHAnsi" w:cstheme="minorHAnsi"/>
          <w:sz w:val="22"/>
        </w:rPr>
        <w:t>taxable years beginning after December 31, 2012</w:t>
      </w:r>
      <w:r w:rsidRPr="00E37C81">
        <w:rPr>
          <w:rFonts w:asciiTheme="minorHAnsi" w:hAnsiTheme="minorHAnsi" w:cstheme="minorHAnsi"/>
          <w:bCs/>
          <w:iCs/>
          <w:sz w:val="22"/>
          <w:szCs w:val="22"/>
        </w:rPr>
        <w:t xml:space="preserve">.  </w:t>
      </w:r>
    </w:p>
    <w:p w:rsidR="00120E02" w:rsidRPr="00E37C81" w:rsidRDefault="00120E02" w:rsidP="00120E02">
      <w:pPr>
        <w:pStyle w:val="Heading3"/>
        <w:spacing w:before="40"/>
        <w:ind w:left="187"/>
        <w:rPr>
          <w:rFonts w:asciiTheme="minorHAnsi" w:hAnsiTheme="minorHAnsi"/>
          <w:b w:val="0"/>
          <w:iCs/>
          <w:sz w:val="22"/>
        </w:rPr>
      </w:pPr>
      <w:r w:rsidRPr="00E37C81">
        <w:rPr>
          <w:rFonts w:asciiTheme="minorHAnsi" w:hAnsiTheme="minorHAnsi"/>
          <w:b w:val="0"/>
          <w:iCs/>
          <w:sz w:val="22"/>
        </w:rPr>
        <w:t>This provision is estimated to cost $46 million over ten years.</w:t>
      </w:r>
    </w:p>
    <w:p w:rsidR="00120E02" w:rsidRPr="00120E02" w:rsidRDefault="00120E02" w:rsidP="00120E02">
      <w:pPr>
        <w:spacing w:after="0" w:line="240" w:lineRule="auto"/>
        <w:rPr>
          <w:rFonts w:asciiTheme="minorHAnsi" w:hAnsiTheme="minorHAnsi" w:cstheme="minorHAnsi"/>
          <w:b/>
          <w:sz w:val="28"/>
          <w:szCs w:val="28"/>
          <w:u w:val="single"/>
        </w:rPr>
      </w:pPr>
    </w:p>
    <w:p w:rsidR="00120E02" w:rsidRPr="00E37C81" w:rsidRDefault="00120E02" w:rsidP="00120E02">
      <w:pPr>
        <w:pStyle w:val="BodyTextIndent"/>
        <w:ind w:left="180" w:firstLine="0"/>
        <w:rPr>
          <w:rFonts w:asciiTheme="minorHAnsi" w:hAnsiTheme="minorHAnsi"/>
          <w:bCs/>
          <w:sz w:val="22"/>
          <w:szCs w:val="22"/>
        </w:rPr>
      </w:pPr>
      <w:r w:rsidRPr="00E37C81">
        <w:rPr>
          <w:rFonts w:asciiTheme="minorHAnsi" w:hAnsiTheme="minorHAnsi" w:cstheme="minorHAnsi"/>
          <w:b/>
          <w:i/>
          <w:sz w:val="22"/>
          <w:szCs w:val="22"/>
        </w:rPr>
        <w:t xml:space="preserve">Permanent </w:t>
      </w:r>
      <w:r w:rsidRPr="00E37C81">
        <w:rPr>
          <w:rFonts w:asciiTheme="minorHAnsi" w:hAnsiTheme="minorHAnsi"/>
          <w:b/>
          <w:i/>
          <w:sz w:val="22"/>
          <w:szCs w:val="22"/>
        </w:rPr>
        <w:t>estate, gift and generation skipping transfer tax relief.</w:t>
      </w:r>
      <w:r w:rsidRPr="00E37C81">
        <w:rPr>
          <w:rFonts w:asciiTheme="minorHAnsi" w:hAnsiTheme="minorHAnsi"/>
          <w:b/>
          <w:sz w:val="22"/>
          <w:szCs w:val="22"/>
        </w:rPr>
        <w:t xml:space="preserve">  </w:t>
      </w:r>
      <w:r w:rsidRPr="00E37C81">
        <w:rPr>
          <w:rFonts w:asciiTheme="minorHAnsi" w:hAnsiTheme="minorHAnsi"/>
          <w:sz w:val="22"/>
          <w:szCs w:val="22"/>
        </w:rPr>
        <w:t xml:space="preserve">The EGTRRA </w:t>
      </w:r>
      <w:r w:rsidRPr="00E37C81">
        <w:rPr>
          <w:rFonts w:asciiTheme="minorHAnsi" w:hAnsiTheme="minorHAnsi"/>
          <w:bCs/>
          <w:sz w:val="22"/>
          <w:szCs w:val="22"/>
        </w:rPr>
        <w:t>phased-out the estate and generation-skipping transfer taxes so that they were fully repealed in 2010, and lowered the gift tax rate to 35 percent and increased the gift tax exemption to $1 million for 2010.  In 2010, the TRUIRJCA set the exemption at $5 million per person with a top tax rate of 35 percent for the estate, gift, and generation skipping transfer taxes for two years, through 2012.  The exemption amount was indexed beginning in 2012.  The bill makes permanent the indexed TRUIRJCA exclusion amount</w:t>
      </w:r>
      <w:r>
        <w:rPr>
          <w:rFonts w:asciiTheme="minorHAnsi" w:hAnsiTheme="minorHAnsi"/>
          <w:bCs/>
          <w:sz w:val="22"/>
          <w:szCs w:val="22"/>
        </w:rPr>
        <w:t xml:space="preserve"> and indexes that amount for inflation going forward</w:t>
      </w:r>
      <w:r w:rsidRPr="00E37C81">
        <w:rPr>
          <w:rFonts w:asciiTheme="minorHAnsi" w:hAnsiTheme="minorHAnsi"/>
          <w:bCs/>
          <w:sz w:val="22"/>
          <w:szCs w:val="22"/>
        </w:rPr>
        <w:t xml:space="preserve">, but sets the top tax rate to 40 percent </w:t>
      </w:r>
      <w:r w:rsidRPr="00E37C81">
        <w:rPr>
          <w:rFonts w:asciiTheme="minorHAnsi" w:hAnsiTheme="minorHAnsi" w:cstheme="minorHAnsi"/>
          <w:sz w:val="22"/>
          <w:szCs w:val="22"/>
        </w:rPr>
        <w:t>for estates of decedents dying after December 31, 2012</w:t>
      </w:r>
      <w:r w:rsidRPr="00E37C81">
        <w:rPr>
          <w:rFonts w:asciiTheme="minorHAnsi" w:hAnsiTheme="minorHAnsi"/>
          <w:bCs/>
          <w:sz w:val="22"/>
          <w:szCs w:val="22"/>
        </w:rPr>
        <w:t xml:space="preserve">.  </w:t>
      </w:r>
    </w:p>
    <w:p w:rsidR="00120E02" w:rsidRPr="00E37C81" w:rsidRDefault="00120E02" w:rsidP="00120E02">
      <w:pPr>
        <w:pStyle w:val="Heading3"/>
        <w:spacing w:before="40"/>
        <w:ind w:left="187"/>
        <w:rPr>
          <w:rFonts w:asciiTheme="minorHAnsi" w:hAnsiTheme="minorHAnsi"/>
          <w:b w:val="0"/>
          <w:iCs/>
          <w:sz w:val="22"/>
        </w:rPr>
      </w:pPr>
      <w:r w:rsidRPr="00E37C81">
        <w:rPr>
          <w:rFonts w:asciiTheme="minorHAnsi" w:hAnsiTheme="minorHAnsi"/>
          <w:b w:val="0"/>
          <w:iCs/>
          <w:sz w:val="22"/>
        </w:rPr>
        <w:t>This provision is scored in combination with the two provisions below. Together these provisions are estimated to cost $396.068 billion over ten years.</w:t>
      </w:r>
      <w:r w:rsidRPr="00E37C81">
        <w:rPr>
          <w:rStyle w:val="FootnoteReference"/>
          <w:rFonts w:asciiTheme="minorHAnsi" w:hAnsiTheme="minorHAnsi"/>
          <w:b w:val="0"/>
          <w:iCs/>
          <w:sz w:val="22"/>
        </w:rPr>
        <w:footnoteReference w:id="5"/>
      </w:r>
      <w:r w:rsidRPr="00E37C81">
        <w:rPr>
          <w:rFonts w:asciiTheme="minorHAnsi" w:hAnsiTheme="minorHAnsi"/>
          <w:b w:val="0"/>
          <w:iCs/>
          <w:sz w:val="22"/>
        </w:rPr>
        <w:t xml:space="preserve"> </w:t>
      </w:r>
    </w:p>
    <w:p w:rsidR="00120E02" w:rsidRPr="00120E02" w:rsidRDefault="00120E02" w:rsidP="00120E02">
      <w:pPr>
        <w:pStyle w:val="BodyTextIndent"/>
        <w:ind w:left="180" w:firstLine="0"/>
        <w:rPr>
          <w:rFonts w:asciiTheme="minorHAnsi" w:hAnsiTheme="minorHAnsi"/>
          <w:b/>
          <w:bCs/>
          <w:i/>
          <w:sz w:val="28"/>
          <w:szCs w:val="28"/>
        </w:rPr>
      </w:pPr>
    </w:p>
    <w:p w:rsidR="00120E02" w:rsidRPr="00E37C81" w:rsidRDefault="00120E02" w:rsidP="00120E02">
      <w:pPr>
        <w:pStyle w:val="BodyTextIndent"/>
        <w:ind w:left="180" w:firstLine="0"/>
        <w:rPr>
          <w:rFonts w:asciiTheme="minorHAnsi" w:hAnsiTheme="minorHAnsi"/>
          <w:sz w:val="22"/>
          <w:szCs w:val="22"/>
        </w:rPr>
      </w:pPr>
      <w:proofErr w:type="gramStart"/>
      <w:r w:rsidRPr="00E37C81">
        <w:rPr>
          <w:rFonts w:asciiTheme="minorHAnsi" w:hAnsiTheme="minorHAnsi"/>
          <w:b/>
          <w:bCs/>
          <w:i/>
          <w:sz w:val="22"/>
          <w:szCs w:val="22"/>
        </w:rPr>
        <w:t>Portability of unused exemption.</w:t>
      </w:r>
      <w:proofErr w:type="gramEnd"/>
      <w:r w:rsidRPr="00E37C81">
        <w:rPr>
          <w:rFonts w:asciiTheme="minorHAnsi" w:hAnsiTheme="minorHAnsi"/>
          <w:bCs/>
          <w:sz w:val="22"/>
          <w:szCs w:val="22"/>
        </w:rPr>
        <w:t xml:space="preserve">  </w:t>
      </w:r>
      <w:r w:rsidRPr="00E37C81">
        <w:rPr>
          <w:rFonts w:asciiTheme="minorHAnsi" w:hAnsiTheme="minorHAnsi"/>
          <w:sz w:val="22"/>
          <w:szCs w:val="22"/>
        </w:rPr>
        <w:t xml:space="preserve">The TRUIRJCA allowed the executor of a deceased spouse’s estate to transfer any unused exemption to the surviving spouse for estates of decedents dying after December 31, 2010 and before December 31 2012.   The bill makes permanent this provision and is effective for estates for decedents dying after December 31, 2012. </w:t>
      </w:r>
    </w:p>
    <w:p w:rsidR="00120E02" w:rsidRPr="00E37C81" w:rsidRDefault="00120E02" w:rsidP="00120E02">
      <w:pPr>
        <w:spacing w:after="0" w:line="240" w:lineRule="auto"/>
        <w:ind w:left="180"/>
        <w:rPr>
          <w:rFonts w:asciiTheme="minorHAnsi" w:hAnsiTheme="minorHAnsi" w:cstheme="minorHAnsi"/>
          <w:sz w:val="28"/>
          <w:szCs w:val="28"/>
        </w:rPr>
      </w:pPr>
    </w:p>
    <w:p w:rsidR="00120E02" w:rsidRPr="00E37C81" w:rsidRDefault="00120E02" w:rsidP="00120E02">
      <w:pPr>
        <w:pStyle w:val="BodyTextIndent"/>
        <w:ind w:left="180" w:firstLine="0"/>
        <w:rPr>
          <w:rFonts w:asciiTheme="minorHAnsi" w:hAnsiTheme="minorHAnsi"/>
          <w:sz w:val="22"/>
          <w:szCs w:val="22"/>
        </w:rPr>
      </w:pPr>
      <w:proofErr w:type="gramStart"/>
      <w:r w:rsidRPr="00E37C81">
        <w:rPr>
          <w:rFonts w:asciiTheme="minorHAnsi" w:hAnsiTheme="minorHAnsi"/>
          <w:b/>
          <w:i/>
          <w:sz w:val="22"/>
          <w:szCs w:val="22"/>
        </w:rPr>
        <w:t>Reunification.</w:t>
      </w:r>
      <w:proofErr w:type="gramEnd"/>
      <w:r w:rsidRPr="00E37C81">
        <w:rPr>
          <w:rFonts w:asciiTheme="minorHAnsi" w:hAnsiTheme="minorHAnsi"/>
          <w:sz w:val="22"/>
          <w:szCs w:val="22"/>
        </w:rPr>
        <w:t xml:space="preserve">  Prior to the EGTRRA, the estate and gift taxes were unified, creating a single graduated rate schedule for both.  That single lifetime exemption could be used for gifts and/or bequests.  The EGTRRA decoupled these systems.  The TRUIRJCA reunified the estate and gift taxes.  The bill permanently extends unification and is effective for gifts made after December 31, 2012.</w:t>
      </w:r>
    </w:p>
    <w:p w:rsidR="00120E02" w:rsidRDefault="00120E02" w:rsidP="00120E02">
      <w:pPr>
        <w:spacing w:line="240" w:lineRule="auto"/>
        <w:rPr>
          <w:rFonts w:asciiTheme="minorHAnsi" w:hAnsiTheme="minorHAnsi" w:cstheme="minorHAnsi"/>
          <w:b/>
          <w:sz w:val="22"/>
          <w:u w:val="single"/>
        </w:rPr>
      </w:pPr>
    </w:p>
    <w:p w:rsidR="00120E02" w:rsidRDefault="00120E02" w:rsidP="00120E02">
      <w:pPr>
        <w:spacing w:line="240" w:lineRule="auto"/>
        <w:rPr>
          <w:rFonts w:asciiTheme="minorHAnsi" w:hAnsiTheme="minorHAnsi" w:cstheme="minorHAnsi"/>
          <w:b/>
          <w:sz w:val="22"/>
          <w:u w:val="single"/>
        </w:rPr>
      </w:pPr>
    </w:p>
    <w:p w:rsidR="00120E02" w:rsidRPr="00E37C81" w:rsidRDefault="00120E02" w:rsidP="00120E02">
      <w:pPr>
        <w:spacing w:line="240" w:lineRule="auto"/>
        <w:rPr>
          <w:rFonts w:asciiTheme="minorHAnsi" w:hAnsiTheme="minorHAnsi" w:cstheme="minorHAnsi"/>
          <w:b/>
          <w:sz w:val="22"/>
          <w:u w:val="single"/>
        </w:rPr>
      </w:pPr>
      <w:r>
        <w:rPr>
          <w:rFonts w:asciiTheme="minorHAnsi" w:hAnsiTheme="minorHAnsi" w:cstheme="minorHAnsi"/>
          <w:b/>
          <w:sz w:val="22"/>
          <w:u w:val="single"/>
        </w:rPr>
        <w:t>Permanent extension of 200</w:t>
      </w:r>
      <w:r>
        <w:rPr>
          <w:rFonts w:asciiTheme="minorHAnsi" w:hAnsiTheme="minorHAnsi" w:cstheme="minorHAnsi"/>
          <w:b/>
          <w:sz w:val="22"/>
          <w:u w:val="single"/>
        </w:rPr>
        <w:t>3</w:t>
      </w:r>
      <w:r>
        <w:rPr>
          <w:rFonts w:asciiTheme="minorHAnsi" w:hAnsiTheme="minorHAnsi" w:cstheme="minorHAnsi"/>
          <w:b/>
          <w:sz w:val="22"/>
          <w:u w:val="single"/>
        </w:rPr>
        <w:t xml:space="preserve"> tax relief</w:t>
      </w:r>
    </w:p>
    <w:p w:rsidR="00612FE2" w:rsidRPr="00E37C81" w:rsidRDefault="005226F0" w:rsidP="0065097D">
      <w:pPr>
        <w:spacing w:after="0" w:line="240" w:lineRule="auto"/>
        <w:ind w:left="180"/>
        <w:contextualSpacing/>
        <w:rPr>
          <w:rFonts w:asciiTheme="minorHAnsi" w:hAnsiTheme="minorHAnsi" w:cstheme="minorHAnsi"/>
          <w:sz w:val="22"/>
        </w:rPr>
      </w:pPr>
      <w:r w:rsidRPr="00E37C81">
        <w:rPr>
          <w:rFonts w:asciiTheme="minorHAnsi" w:hAnsiTheme="minorHAnsi" w:cstheme="minorHAnsi"/>
          <w:b/>
          <w:i/>
          <w:sz w:val="22"/>
        </w:rPr>
        <w:t xml:space="preserve">Permanently </w:t>
      </w:r>
      <w:r w:rsidR="0044318F" w:rsidRPr="00E37C81">
        <w:rPr>
          <w:rFonts w:asciiTheme="minorHAnsi" w:hAnsiTheme="minorHAnsi" w:cstheme="minorHAnsi"/>
          <w:b/>
          <w:i/>
          <w:sz w:val="22"/>
        </w:rPr>
        <w:t>e</w:t>
      </w:r>
      <w:r w:rsidR="009E1979" w:rsidRPr="00E37C81">
        <w:rPr>
          <w:rFonts w:asciiTheme="minorHAnsi" w:hAnsiTheme="minorHAnsi" w:cstheme="minorHAnsi"/>
          <w:b/>
          <w:i/>
          <w:sz w:val="22"/>
        </w:rPr>
        <w:t xml:space="preserve">xtend the </w:t>
      </w:r>
      <w:r w:rsidR="0044318F" w:rsidRPr="00E37C81">
        <w:rPr>
          <w:rFonts w:asciiTheme="minorHAnsi" w:hAnsiTheme="minorHAnsi" w:cstheme="minorHAnsi"/>
          <w:b/>
          <w:i/>
          <w:sz w:val="22"/>
        </w:rPr>
        <w:t>c</w:t>
      </w:r>
      <w:r w:rsidR="009E1979" w:rsidRPr="00E37C81">
        <w:rPr>
          <w:rFonts w:asciiTheme="minorHAnsi" w:hAnsiTheme="minorHAnsi" w:cstheme="minorHAnsi"/>
          <w:b/>
          <w:i/>
          <w:sz w:val="22"/>
        </w:rPr>
        <w:t xml:space="preserve">apital </w:t>
      </w:r>
      <w:r w:rsidR="0044318F" w:rsidRPr="00E37C81">
        <w:rPr>
          <w:rFonts w:asciiTheme="minorHAnsi" w:hAnsiTheme="minorHAnsi" w:cstheme="minorHAnsi"/>
          <w:b/>
          <w:i/>
          <w:sz w:val="22"/>
        </w:rPr>
        <w:t>g</w:t>
      </w:r>
      <w:r w:rsidR="009E1979" w:rsidRPr="00E37C81">
        <w:rPr>
          <w:rFonts w:asciiTheme="minorHAnsi" w:hAnsiTheme="minorHAnsi" w:cstheme="minorHAnsi"/>
          <w:b/>
          <w:i/>
          <w:sz w:val="22"/>
        </w:rPr>
        <w:t>ains and</w:t>
      </w:r>
      <w:r w:rsidR="0044318F" w:rsidRPr="00E37C81">
        <w:rPr>
          <w:rFonts w:asciiTheme="minorHAnsi" w:hAnsiTheme="minorHAnsi" w:cstheme="minorHAnsi"/>
          <w:b/>
          <w:i/>
          <w:sz w:val="22"/>
        </w:rPr>
        <w:t xml:space="preserve"> d</w:t>
      </w:r>
      <w:r w:rsidR="009E1979" w:rsidRPr="00E37C81">
        <w:rPr>
          <w:rFonts w:asciiTheme="minorHAnsi" w:hAnsiTheme="minorHAnsi" w:cstheme="minorHAnsi"/>
          <w:b/>
          <w:i/>
          <w:sz w:val="22"/>
        </w:rPr>
        <w:t xml:space="preserve">ividend </w:t>
      </w:r>
      <w:r w:rsidR="0044318F" w:rsidRPr="00E37C81">
        <w:rPr>
          <w:rFonts w:asciiTheme="minorHAnsi" w:hAnsiTheme="minorHAnsi" w:cstheme="minorHAnsi"/>
          <w:b/>
          <w:i/>
          <w:sz w:val="22"/>
        </w:rPr>
        <w:t>r</w:t>
      </w:r>
      <w:r w:rsidR="009E1979" w:rsidRPr="00E37C81">
        <w:rPr>
          <w:rFonts w:asciiTheme="minorHAnsi" w:hAnsiTheme="minorHAnsi" w:cstheme="minorHAnsi"/>
          <w:b/>
          <w:i/>
          <w:sz w:val="22"/>
        </w:rPr>
        <w:t>ates.</w:t>
      </w:r>
      <w:r w:rsidR="009E1979" w:rsidRPr="00E37C81">
        <w:rPr>
          <w:rFonts w:asciiTheme="minorHAnsi" w:hAnsiTheme="minorHAnsi" w:cstheme="minorHAnsi"/>
          <w:sz w:val="22"/>
        </w:rPr>
        <w:t xml:space="preserve">  Under current law, the capital gains</w:t>
      </w:r>
      <w:r w:rsidR="00D7261D" w:rsidRPr="00E37C81">
        <w:rPr>
          <w:rFonts w:asciiTheme="minorHAnsi" w:hAnsiTheme="minorHAnsi" w:cstheme="minorHAnsi"/>
          <w:sz w:val="22"/>
        </w:rPr>
        <w:t xml:space="preserve"> and dividend</w:t>
      </w:r>
      <w:r w:rsidR="009E1979" w:rsidRPr="00E37C81">
        <w:rPr>
          <w:rFonts w:asciiTheme="minorHAnsi" w:hAnsiTheme="minorHAnsi" w:cstheme="minorHAnsi"/>
          <w:sz w:val="22"/>
        </w:rPr>
        <w:t xml:space="preserve"> rate</w:t>
      </w:r>
      <w:r w:rsidR="00D7261D" w:rsidRPr="00E37C81">
        <w:rPr>
          <w:rFonts w:asciiTheme="minorHAnsi" w:hAnsiTheme="minorHAnsi" w:cstheme="minorHAnsi"/>
          <w:sz w:val="22"/>
        </w:rPr>
        <w:t>s</w:t>
      </w:r>
      <w:r w:rsidR="009E1979" w:rsidRPr="00E37C81">
        <w:rPr>
          <w:rFonts w:asciiTheme="minorHAnsi" w:hAnsiTheme="minorHAnsi" w:cstheme="minorHAnsi"/>
          <w:sz w:val="22"/>
        </w:rPr>
        <w:t xml:space="preserve"> for taxpayers below </w:t>
      </w:r>
      <w:r w:rsidR="00B00D04" w:rsidRPr="00E37C81">
        <w:rPr>
          <w:rFonts w:asciiTheme="minorHAnsi" w:hAnsiTheme="minorHAnsi" w:cstheme="minorHAnsi"/>
          <w:sz w:val="22"/>
        </w:rPr>
        <w:t xml:space="preserve">the </w:t>
      </w:r>
      <w:r w:rsidR="009E1979" w:rsidRPr="00E37C81">
        <w:rPr>
          <w:rFonts w:asciiTheme="minorHAnsi" w:hAnsiTheme="minorHAnsi" w:cstheme="minorHAnsi"/>
          <w:sz w:val="22"/>
        </w:rPr>
        <w:t>25%</w:t>
      </w:r>
      <w:r w:rsidR="00B00D04" w:rsidRPr="00E37C81">
        <w:rPr>
          <w:rFonts w:asciiTheme="minorHAnsi" w:hAnsiTheme="minorHAnsi" w:cstheme="minorHAnsi"/>
          <w:sz w:val="22"/>
        </w:rPr>
        <w:t xml:space="preserve"> bracket</w:t>
      </w:r>
      <w:r w:rsidR="009E1979" w:rsidRPr="00E37C81">
        <w:rPr>
          <w:rFonts w:asciiTheme="minorHAnsi" w:hAnsiTheme="minorHAnsi" w:cstheme="minorHAnsi"/>
          <w:sz w:val="22"/>
        </w:rPr>
        <w:t xml:space="preserve"> is equal to zero percent.  </w:t>
      </w:r>
      <w:r w:rsidR="00D53B4F" w:rsidRPr="00E37C81">
        <w:rPr>
          <w:rFonts w:asciiTheme="minorHAnsi" w:hAnsiTheme="minorHAnsi" w:cstheme="minorHAnsi"/>
          <w:sz w:val="22"/>
        </w:rPr>
        <w:t>For those in the 25% bracket and above</w:t>
      </w:r>
      <w:r w:rsidR="00DF6F26" w:rsidRPr="00E37C81">
        <w:rPr>
          <w:rFonts w:asciiTheme="minorHAnsi" w:hAnsiTheme="minorHAnsi" w:cstheme="minorHAnsi"/>
          <w:sz w:val="22"/>
        </w:rPr>
        <w:t>,</w:t>
      </w:r>
      <w:r w:rsidR="00D53B4F" w:rsidRPr="00E37C81">
        <w:rPr>
          <w:rFonts w:asciiTheme="minorHAnsi" w:hAnsiTheme="minorHAnsi" w:cstheme="minorHAnsi"/>
          <w:sz w:val="22"/>
        </w:rPr>
        <w:t xml:space="preserve"> the capital gains and dividend rates are currently 15%.  </w:t>
      </w:r>
      <w:r w:rsidR="009E1979" w:rsidRPr="00E37C81">
        <w:rPr>
          <w:rFonts w:asciiTheme="minorHAnsi" w:hAnsiTheme="minorHAnsi" w:cstheme="minorHAnsi"/>
          <w:sz w:val="22"/>
        </w:rPr>
        <w:t>Th</w:t>
      </w:r>
      <w:r w:rsidR="00D7261D" w:rsidRPr="00E37C81">
        <w:rPr>
          <w:rFonts w:asciiTheme="minorHAnsi" w:hAnsiTheme="minorHAnsi" w:cstheme="minorHAnsi"/>
          <w:sz w:val="22"/>
        </w:rPr>
        <w:t>ese</w:t>
      </w:r>
      <w:r w:rsidR="009E1979" w:rsidRPr="00E37C81">
        <w:rPr>
          <w:rFonts w:asciiTheme="minorHAnsi" w:hAnsiTheme="minorHAnsi" w:cstheme="minorHAnsi"/>
          <w:sz w:val="22"/>
        </w:rPr>
        <w:t xml:space="preserve"> rate</w:t>
      </w:r>
      <w:r w:rsidR="00D7261D" w:rsidRPr="00E37C81">
        <w:rPr>
          <w:rFonts w:asciiTheme="minorHAnsi" w:hAnsiTheme="minorHAnsi" w:cstheme="minorHAnsi"/>
          <w:sz w:val="22"/>
        </w:rPr>
        <w:t>s</w:t>
      </w:r>
      <w:r w:rsidR="009E1979" w:rsidRPr="00E37C81">
        <w:rPr>
          <w:rFonts w:asciiTheme="minorHAnsi" w:hAnsiTheme="minorHAnsi" w:cstheme="minorHAnsi"/>
          <w:sz w:val="22"/>
        </w:rPr>
        <w:t xml:space="preserve"> expire at the end of 201</w:t>
      </w:r>
      <w:r w:rsidR="00612FE2" w:rsidRPr="00E37C81">
        <w:rPr>
          <w:rFonts w:asciiTheme="minorHAnsi" w:hAnsiTheme="minorHAnsi" w:cstheme="minorHAnsi"/>
          <w:sz w:val="22"/>
        </w:rPr>
        <w:t>2</w:t>
      </w:r>
      <w:r w:rsidR="009E1979" w:rsidRPr="00E37C81">
        <w:rPr>
          <w:rFonts w:asciiTheme="minorHAnsi" w:hAnsiTheme="minorHAnsi" w:cstheme="minorHAnsi"/>
          <w:sz w:val="22"/>
        </w:rPr>
        <w:t>.  Upon expiration, the rate</w:t>
      </w:r>
      <w:r w:rsidR="00D53B4F" w:rsidRPr="00E37C81">
        <w:rPr>
          <w:rFonts w:asciiTheme="minorHAnsi" w:hAnsiTheme="minorHAnsi" w:cstheme="minorHAnsi"/>
          <w:sz w:val="22"/>
        </w:rPr>
        <w:t>s for capital gains become</w:t>
      </w:r>
      <w:r w:rsidR="009E1979" w:rsidRPr="00E37C81">
        <w:rPr>
          <w:rFonts w:asciiTheme="minorHAnsi" w:hAnsiTheme="minorHAnsi" w:cstheme="minorHAnsi"/>
          <w:sz w:val="22"/>
        </w:rPr>
        <w:t xml:space="preserve"> 10%</w:t>
      </w:r>
      <w:r w:rsidR="00D7261D" w:rsidRPr="00E37C81">
        <w:rPr>
          <w:rFonts w:asciiTheme="minorHAnsi" w:hAnsiTheme="minorHAnsi" w:cstheme="minorHAnsi"/>
          <w:sz w:val="22"/>
        </w:rPr>
        <w:t xml:space="preserve"> </w:t>
      </w:r>
      <w:r w:rsidR="00D53B4F" w:rsidRPr="00E37C81">
        <w:rPr>
          <w:rFonts w:asciiTheme="minorHAnsi" w:hAnsiTheme="minorHAnsi" w:cstheme="minorHAnsi"/>
          <w:sz w:val="22"/>
        </w:rPr>
        <w:t xml:space="preserve">and 20%, respectively, </w:t>
      </w:r>
      <w:r w:rsidR="00D7261D" w:rsidRPr="00E37C81">
        <w:rPr>
          <w:rFonts w:asciiTheme="minorHAnsi" w:hAnsiTheme="minorHAnsi" w:cstheme="minorHAnsi"/>
          <w:sz w:val="22"/>
        </w:rPr>
        <w:t>and dividends are subject to the ordinary income rates</w:t>
      </w:r>
      <w:r w:rsidR="009E1979" w:rsidRPr="00E37C81">
        <w:rPr>
          <w:rFonts w:asciiTheme="minorHAnsi" w:hAnsiTheme="minorHAnsi" w:cstheme="minorHAnsi"/>
          <w:sz w:val="22"/>
        </w:rPr>
        <w:t>.  Th</w:t>
      </w:r>
      <w:r w:rsidR="00683E62" w:rsidRPr="00E37C81">
        <w:rPr>
          <w:rFonts w:asciiTheme="minorHAnsi" w:hAnsiTheme="minorHAnsi" w:cstheme="minorHAnsi"/>
          <w:sz w:val="22"/>
        </w:rPr>
        <w:t>e</w:t>
      </w:r>
      <w:r w:rsidR="009E1979" w:rsidRPr="00E37C81">
        <w:rPr>
          <w:rFonts w:asciiTheme="minorHAnsi" w:hAnsiTheme="minorHAnsi" w:cstheme="minorHAnsi"/>
          <w:sz w:val="22"/>
        </w:rPr>
        <w:t xml:space="preserve"> </w:t>
      </w:r>
      <w:r w:rsidR="00683E62" w:rsidRPr="00E37C81">
        <w:rPr>
          <w:rFonts w:asciiTheme="minorHAnsi" w:hAnsiTheme="minorHAnsi" w:cstheme="minorHAnsi"/>
          <w:sz w:val="22"/>
        </w:rPr>
        <w:t>bill</w:t>
      </w:r>
      <w:r w:rsidR="009E1979" w:rsidRPr="00E37C81">
        <w:rPr>
          <w:rFonts w:asciiTheme="minorHAnsi" w:hAnsiTheme="minorHAnsi" w:cstheme="minorHAnsi"/>
          <w:sz w:val="22"/>
        </w:rPr>
        <w:t xml:space="preserve"> </w:t>
      </w:r>
      <w:r w:rsidR="00223A4F" w:rsidRPr="00E37C81">
        <w:rPr>
          <w:rFonts w:asciiTheme="minorHAnsi" w:hAnsiTheme="minorHAnsi" w:cstheme="minorHAnsi"/>
          <w:sz w:val="22"/>
        </w:rPr>
        <w:t>extends</w:t>
      </w:r>
      <w:r w:rsidR="00D53B4F" w:rsidRPr="00E37C81">
        <w:rPr>
          <w:rFonts w:asciiTheme="minorHAnsi" w:hAnsiTheme="minorHAnsi" w:cstheme="minorHAnsi"/>
          <w:sz w:val="22"/>
        </w:rPr>
        <w:t xml:space="preserve"> </w:t>
      </w:r>
      <w:r w:rsidR="00223A4F" w:rsidRPr="00E37C81">
        <w:rPr>
          <w:rFonts w:asciiTheme="minorHAnsi" w:hAnsiTheme="minorHAnsi" w:cstheme="minorHAnsi"/>
          <w:sz w:val="22"/>
        </w:rPr>
        <w:t xml:space="preserve">the current capital gains and dividends rates </w:t>
      </w:r>
      <w:r w:rsidR="00612FE2" w:rsidRPr="00E37C81">
        <w:rPr>
          <w:rFonts w:asciiTheme="minorHAnsi" w:hAnsiTheme="minorHAnsi" w:cstheme="minorHAnsi"/>
          <w:sz w:val="22"/>
        </w:rPr>
        <w:t>on income</w:t>
      </w:r>
      <w:r w:rsidR="00166635" w:rsidRPr="00E37C81">
        <w:rPr>
          <w:rFonts w:asciiTheme="minorHAnsi" w:hAnsiTheme="minorHAnsi" w:cstheme="minorHAnsi"/>
          <w:sz w:val="22"/>
        </w:rPr>
        <w:t xml:space="preserve"> at or</w:t>
      </w:r>
      <w:r w:rsidR="00612FE2" w:rsidRPr="00E37C81">
        <w:rPr>
          <w:rFonts w:asciiTheme="minorHAnsi" w:hAnsiTheme="minorHAnsi" w:cstheme="minorHAnsi"/>
          <w:sz w:val="22"/>
        </w:rPr>
        <w:t xml:space="preserve"> below $</w:t>
      </w:r>
      <w:r w:rsidRPr="00E37C81">
        <w:rPr>
          <w:rFonts w:asciiTheme="minorHAnsi" w:hAnsiTheme="minorHAnsi" w:cstheme="minorHAnsi"/>
          <w:sz w:val="22"/>
        </w:rPr>
        <w:t>400</w:t>
      </w:r>
      <w:r w:rsidR="00612FE2" w:rsidRPr="00E37C81">
        <w:rPr>
          <w:rFonts w:asciiTheme="minorHAnsi" w:hAnsiTheme="minorHAnsi" w:cstheme="minorHAnsi"/>
          <w:sz w:val="22"/>
        </w:rPr>
        <w:t>,000 (individual filers)</w:t>
      </w:r>
      <w:r w:rsidR="00895980" w:rsidRPr="00E37C81">
        <w:rPr>
          <w:rFonts w:asciiTheme="minorHAnsi" w:hAnsiTheme="minorHAnsi" w:cstheme="minorHAnsi"/>
          <w:sz w:val="22"/>
        </w:rPr>
        <w:t>, $</w:t>
      </w:r>
      <w:r w:rsidRPr="00E37C81">
        <w:rPr>
          <w:rFonts w:asciiTheme="minorHAnsi" w:hAnsiTheme="minorHAnsi" w:cstheme="minorHAnsi"/>
          <w:sz w:val="22"/>
        </w:rPr>
        <w:t>4</w:t>
      </w:r>
      <w:r w:rsidR="00895980" w:rsidRPr="00E37C81">
        <w:rPr>
          <w:rFonts w:asciiTheme="minorHAnsi" w:hAnsiTheme="minorHAnsi" w:cstheme="minorHAnsi"/>
          <w:sz w:val="22"/>
        </w:rPr>
        <w:t>25,000 (heads of households)</w:t>
      </w:r>
      <w:r w:rsidR="00612FE2" w:rsidRPr="00E37C81">
        <w:rPr>
          <w:rFonts w:asciiTheme="minorHAnsi" w:hAnsiTheme="minorHAnsi" w:cstheme="minorHAnsi"/>
          <w:sz w:val="22"/>
        </w:rPr>
        <w:t xml:space="preserve"> and $</w:t>
      </w:r>
      <w:r w:rsidRPr="00E37C81">
        <w:rPr>
          <w:rFonts w:asciiTheme="minorHAnsi" w:hAnsiTheme="minorHAnsi" w:cstheme="minorHAnsi"/>
          <w:sz w:val="22"/>
        </w:rPr>
        <w:t>4</w:t>
      </w:r>
      <w:r w:rsidR="00612FE2" w:rsidRPr="00E37C81">
        <w:rPr>
          <w:rFonts w:asciiTheme="minorHAnsi" w:hAnsiTheme="minorHAnsi" w:cstheme="minorHAnsi"/>
          <w:sz w:val="22"/>
        </w:rPr>
        <w:t xml:space="preserve">50,000 (married filing jointly) for </w:t>
      </w:r>
      <w:r w:rsidRPr="00E37C81">
        <w:rPr>
          <w:rFonts w:asciiTheme="minorHAnsi" w:hAnsiTheme="minorHAnsi" w:cstheme="minorHAnsi"/>
          <w:sz w:val="22"/>
        </w:rPr>
        <w:t>taxable years beginning after December 31, 201</w:t>
      </w:r>
      <w:r w:rsidR="005A6E5F" w:rsidRPr="00E37C81">
        <w:rPr>
          <w:rFonts w:asciiTheme="minorHAnsi" w:hAnsiTheme="minorHAnsi" w:cstheme="minorHAnsi"/>
          <w:sz w:val="22"/>
        </w:rPr>
        <w:t>2</w:t>
      </w:r>
      <w:r w:rsidR="00612FE2" w:rsidRPr="00E37C81">
        <w:rPr>
          <w:rFonts w:asciiTheme="minorHAnsi" w:hAnsiTheme="minorHAnsi" w:cstheme="minorHAnsi"/>
          <w:sz w:val="22"/>
        </w:rPr>
        <w:t xml:space="preserve">.  </w:t>
      </w:r>
      <w:proofErr w:type="gramStart"/>
      <w:r w:rsidR="00612FE2" w:rsidRPr="00E37C81">
        <w:rPr>
          <w:rFonts w:asciiTheme="minorHAnsi" w:hAnsiTheme="minorHAnsi" w:cstheme="minorHAnsi"/>
          <w:sz w:val="22"/>
        </w:rPr>
        <w:t>For income in excess of $</w:t>
      </w:r>
      <w:r w:rsidRPr="00E37C81">
        <w:rPr>
          <w:rFonts w:asciiTheme="minorHAnsi" w:hAnsiTheme="minorHAnsi" w:cstheme="minorHAnsi"/>
          <w:sz w:val="22"/>
        </w:rPr>
        <w:t>4</w:t>
      </w:r>
      <w:r w:rsidR="00612FE2" w:rsidRPr="00E37C81">
        <w:rPr>
          <w:rFonts w:asciiTheme="minorHAnsi" w:hAnsiTheme="minorHAnsi" w:cstheme="minorHAnsi"/>
          <w:sz w:val="22"/>
        </w:rPr>
        <w:t>00,000 (individual filers)</w:t>
      </w:r>
      <w:r w:rsidR="00895980" w:rsidRPr="00E37C81">
        <w:rPr>
          <w:rFonts w:asciiTheme="minorHAnsi" w:hAnsiTheme="minorHAnsi" w:cstheme="minorHAnsi"/>
          <w:sz w:val="22"/>
        </w:rPr>
        <w:t>, $</w:t>
      </w:r>
      <w:r w:rsidRPr="00E37C81">
        <w:rPr>
          <w:rFonts w:asciiTheme="minorHAnsi" w:hAnsiTheme="minorHAnsi" w:cstheme="minorHAnsi"/>
          <w:sz w:val="22"/>
        </w:rPr>
        <w:t>4</w:t>
      </w:r>
      <w:r w:rsidR="00895980" w:rsidRPr="00E37C81">
        <w:rPr>
          <w:rFonts w:asciiTheme="minorHAnsi" w:hAnsiTheme="minorHAnsi" w:cstheme="minorHAnsi"/>
          <w:sz w:val="22"/>
        </w:rPr>
        <w:t>25,000 (heads of households)</w:t>
      </w:r>
      <w:r w:rsidR="00612FE2" w:rsidRPr="00E37C81">
        <w:rPr>
          <w:rFonts w:asciiTheme="minorHAnsi" w:hAnsiTheme="minorHAnsi" w:cstheme="minorHAnsi"/>
          <w:sz w:val="22"/>
        </w:rPr>
        <w:t xml:space="preserve"> and $</w:t>
      </w:r>
      <w:r w:rsidRPr="00E37C81">
        <w:rPr>
          <w:rFonts w:asciiTheme="minorHAnsi" w:hAnsiTheme="minorHAnsi" w:cstheme="minorHAnsi"/>
          <w:sz w:val="22"/>
        </w:rPr>
        <w:t>4</w:t>
      </w:r>
      <w:r w:rsidR="00612FE2" w:rsidRPr="00E37C81">
        <w:rPr>
          <w:rFonts w:asciiTheme="minorHAnsi" w:hAnsiTheme="minorHAnsi" w:cstheme="minorHAnsi"/>
          <w:sz w:val="22"/>
        </w:rPr>
        <w:t>50,000 (married filing jointly), the rate for both capital gains and dividends will be 20%.</w:t>
      </w:r>
      <w:proofErr w:type="gramEnd"/>
    </w:p>
    <w:p w:rsidR="00B771E6" w:rsidRPr="00E37C81" w:rsidRDefault="000668F4" w:rsidP="0083597F">
      <w:pPr>
        <w:pStyle w:val="Heading3"/>
        <w:spacing w:before="40"/>
        <w:ind w:left="187"/>
      </w:pPr>
      <w:r w:rsidRPr="00E37C81">
        <w:rPr>
          <w:rFonts w:asciiTheme="minorHAnsi" w:hAnsiTheme="minorHAnsi"/>
          <w:b w:val="0"/>
          <w:iCs/>
          <w:sz w:val="22"/>
        </w:rPr>
        <w:t>This provision is estimated to cost $289.920 billion over ten years</w:t>
      </w:r>
      <w:r w:rsidR="00B446B4" w:rsidRPr="00E37C81">
        <w:rPr>
          <w:rFonts w:asciiTheme="minorHAnsi" w:hAnsiTheme="minorHAnsi"/>
          <w:b w:val="0"/>
          <w:iCs/>
          <w:sz w:val="22"/>
        </w:rPr>
        <w:t>.</w:t>
      </w:r>
      <w:r w:rsidR="00B446B4" w:rsidRPr="00E37C81">
        <w:rPr>
          <w:rStyle w:val="FootnoteReference"/>
          <w:rFonts w:asciiTheme="minorHAnsi" w:hAnsiTheme="minorHAnsi"/>
          <w:b w:val="0"/>
          <w:iCs/>
          <w:sz w:val="22"/>
        </w:rPr>
        <w:footnoteReference w:id="6"/>
      </w:r>
      <w:r w:rsidRPr="00E37C81">
        <w:rPr>
          <w:rFonts w:asciiTheme="minorHAnsi" w:hAnsiTheme="minorHAnsi"/>
          <w:b w:val="0"/>
          <w:iCs/>
          <w:sz w:val="22"/>
        </w:rPr>
        <w:t xml:space="preserve"> </w:t>
      </w:r>
    </w:p>
    <w:p w:rsidR="0083597F" w:rsidRPr="00E37C81" w:rsidRDefault="0083597F" w:rsidP="0083597F">
      <w:pPr>
        <w:pStyle w:val="NoSpacing"/>
        <w:ind w:left="180"/>
        <w:contextualSpacing/>
        <w:rPr>
          <w:rFonts w:asciiTheme="minorHAnsi" w:hAnsiTheme="minorHAnsi" w:cstheme="minorHAnsi"/>
          <w:sz w:val="22"/>
          <w:szCs w:val="22"/>
        </w:rPr>
      </w:pPr>
    </w:p>
    <w:p w:rsidR="00615D4E" w:rsidRPr="00E37C81" w:rsidRDefault="00615D4E" w:rsidP="00615D4E">
      <w:pPr>
        <w:pStyle w:val="NoSpacing"/>
        <w:rPr>
          <w:rFonts w:asciiTheme="minorHAnsi" w:hAnsiTheme="minorHAnsi" w:cstheme="minorHAnsi"/>
          <w:b/>
          <w:bCs/>
          <w:iCs/>
          <w:sz w:val="22"/>
          <w:szCs w:val="22"/>
          <w:u w:val="single"/>
        </w:rPr>
      </w:pPr>
    </w:p>
    <w:p w:rsidR="00615D4E" w:rsidRPr="00E37C81" w:rsidRDefault="0090526B" w:rsidP="00615D4E">
      <w:pPr>
        <w:spacing w:line="240" w:lineRule="auto"/>
        <w:rPr>
          <w:rFonts w:asciiTheme="minorHAnsi" w:hAnsiTheme="minorHAnsi" w:cstheme="minorHAnsi"/>
          <w:b/>
          <w:sz w:val="22"/>
          <w:u w:val="single"/>
        </w:rPr>
      </w:pPr>
      <w:r>
        <w:rPr>
          <w:rFonts w:asciiTheme="minorHAnsi" w:hAnsiTheme="minorHAnsi" w:cstheme="minorHAnsi"/>
          <w:b/>
          <w:sz w:val="22"/>
          <w:u w:val="single"/>
        </w:rPr>
        <w:t>Extension of 2009 tax r</w:t>
      </w:r>
      <w:r w:rsidR="00615D4E">
        <w:rPr>
          <w:rFonts w:asciiTheme="minorHAnsi" w:hAnsiTheme="minorHAnsi" w:cstheme="minorHAnsi"/>
          <w:b/>
          <w:sz w:val="22"/>
          <w:u w:val="single"/>
        </w:rPr>
        <w:t>elief</w:t>
      </w:r>
    </w:p>
    <w:p w:rsidR="00120E02" w:rsidRPr="00E37C81" w:rsidRDefault="00120E02" w:rsidP="00120E02">
      <w:pPr>
        <w:pStyle w:val="NoSpacing"/>
        <w:ind w:left="180"/>
        <w:contextualSpacing/>
        <w:rPr>
          <w:rFonts w:asciiTheme="minorHAnsi" w:hAnsiTheme="minorHAnsi" w:cstheme="minorHAnsi"/>
          <w:bCs/>
          <w:iCs/>
          <w:sz w:val="22"/>
          <w:szCs w:val="22"/>
        </w:rPr>
      </w:pPr>
      <w:r w:rsidRPr="00E37C81">
        <w:rPr>
          <w:rFonts w:asciiTheme="minorHAnsi" w:hAnsiTheme="minorHAnsi" w:cstheme="minorHAnsi"/>
          <w:b/>
          <w:i/>
          <w:sz w:val="22"/>
          <w:szCs w:val="22"/>
        </w:rPr>
        <w:t xml:space="preserve">Temporarily extend the </w:t>
      </w:r>
      <w:r w:rsidRPr="00E37C81">
        <w:rPr>
          <w:rFonts w:asciiTheme="minorHAnsi" w:hAnsiTheme="minorHAnsi" w:cstheme="minorHAnsi"/>
          <w:b/>
          <w:bCs/>
          <w:i/>
          <w:iCs/>
          <w:sz w:val="22"/>
          <w:szCs w:val="22"/>
        </w:rPr>
        <w:t>American Opportunity Tax Credit.</w:t>
      </w:r>
      <w:r w:rsidRPr="00E37C81">
        <w:rPr>
          <w:rFonts w:asciiTheme="minorHAnsi" w:hAnsiTheme="minorHAnsi" w:cstheme="minorHAnsi"/>
          <w:sz w:val="22"/>
          <w:szCs w:val="22"/>
        </w:rPr>
        <w:t xml:space="preserve"> Created under the ARRA, the American Opportunity Tax Credit is available for up to $2,500 of the cost of tuition and related expenses paid during the taxable year. Under this tax credit, taxpayers receive a tax credit based on 100% of the first $2,000 of tuition and related expenses (including course materials) paid during the taxable year and 25% of the next $2,000 of tuition and related expenses paid during the taxable year. Forty percent of the credit is refundable.  This tax credit is subject to a phase-out for taxpayers with adjusted gross income in excess of $80,000 ($160,000 for married couples filing jointly)</w:t>
      </w:r>
      <w:r w:rsidRPr="00E37C81">
        <w:rPr>
          <w:rFonts w:asciiTheme="minorHAnsi" w:hAnsiTheme="minorHAnsi" w:cstheme="minorHAnsi"/>
          <w:bCs/>
          <w:iCs/>
          <w:sz w:val="22"/>
          <w:szCs w:val="22"/>
        </w:rPr>
        <w:t xml:space="preserve">.  The bill extends the American Opportunity Tax Credit for five additional years, through 2017.  </w:t>
      </w:r>
    </w:p>
    <w:p w:rsidR="00120E02" w:rsidRPr="00E37C81" w:rsidRDefault="00120E02" w:rsidP="00120E02">
      <w:pPr>
        <w:pStyle w:val="Heading3"/>
        <w:spacing w:before="40"/>
        <w:ind w:left="187"/>
        <w:rPr>
          <w:rFonts w:asciiTheme="minorHAnsi" w:hAnsiTheme="minorHAnsi"/>
          <w:b w:val="0"/>
          <w:iCs/>
          <w:sz w:val="22"/>
        </w:rPr>
      </w:pPr>
      <w:r w:rsidRPr="00E37C81">
        <w:rPr>
          <w:rFonts w:asciiTheme="minorHAnsi" w:hAnsiTheme="minorHAnsi"/>
          <w:b w:val="0"/>
          <w:iCs/>
          <w:sz w:val="22"/>
        </w:rPr>
        <w:t>This provision is estimated to cost $67.280 billion over ten years.</w:t>
      </w:r>
    </w:p>
    <w:p w:rsidR="00120E02" w:rsidRPr="00120E02" w:rsidRDefault="00120E02" w:rsidP="00C4181E">
      <w:pPr>
        <w:pStyle w:val="NoSpacing"/>
        <w:ind w:left="180"/>
        <w:contextualSpacing/>
        <w:rPr>
          <w:rFonts w:asciiTheme="minorHAnsi" w:hAnsiTheme="minorHAnsi" w:cstheme="minorHAnsi"/>
          <w:b/>
          <w:i/>
          <w:sz w:val="28"/>
          <w:szCs w:val="28"/>
        </w:rPr>
      </w:pPr>
    </w:p>
    <w:p w:rsidR="00B559D9" w:rsidRPr="00E37C81" w:rsidRDefault="00B559D9" w:rsidP="00C4181E">
      <w:pPr>
        <w:pStyle w:val="NoSpacing"/>
        <w:ind w:left="180"/>
        <w:contextualSpacing/>
        <w:rPr>
          <w:rFonts w:asciiTheme="minorHAnsi" w:hAnsiTheme="minorHAnsi" w:cstheme="minorHAnsi"/>
          <w:sz w:val="22"/>
          <w:szCs w:val="22"/>
        </w:rPr>
      </w:pPr>
      <w:r w:rsidRPr="00E37C81">
        <w:rPr>
          <w:rFonts w:asciiTheme="minorHAnsi" w:hAnsiTheme="minorHAnsi" w:cstheme="minorHAnsi"/>
          <w:b/>
          <w:i/>
          <w:sz w:val="22"/>
          <w:szCs w:val="22"/>
        </w:rPr>
        <w:t xml:space="preserve">Temporarily extend the </w:t>
      </w:r>
      <w:r w:rsidR="005226F0" w:rsidRPr="00E37C81">
        <w:rPr>
          <w:rFonts w:asciiTheme="minorHAnsi" w:hAnsiTheme="minorHAnsi" w:cstheme="minorHAnsi"/>
          <w:b/>
          <w:i/>
          <w:sz w:val="22"/>
          <w:szCs w:val="22"/>
        </w:rPr>
        <w:t>2009 modifications to the</w:t>
      </w:r>
      <w:r w:rsidRPr="00E37C81">
        <w:rPr>
          <w:rFonts w:asciiTheme="minorHAnsi" w:hAnsiTheme="minorHAnsi" w:cstheme="minorHAnsi"/>
          <w:b/>
          <w:i/>
          <w:sz w:val="22"/>
          <w:szCs w:val="22"/>
        </w:rPr>
        <w:t xml:space="preserve"> child tax credit.</w:t>
      </w:r>
      <w:r w:rsidRPr="00E37C81">
        <w:rPr>
          <w:rFonts w:asciiTheme="minorHAnsi" w:hAnsiTheme="minorHAnsi" w:cstheme="minorHAnsi"/>
          <w:i/>
          <w:sz w:val="22"/>
          <w:szCs w:val="22"/>
        </w:rPr>
        <w:t xml:space="preserve">  </w:t>
      </w:r>
      <w:r w:rsidRPr="00E37C81">
        <w:rPr>
          <w:rFonts w:asciiTheme="minorHAnsi" w:hAnsiTheme="minorHAnsi" w:cstheme="minorHAnsi"/>
          <w:sz w:val="22"/>
          <w:szCs w:val="22"/>
        </w:rPr>
        <w:t xml:space="preserve">The </w:t>
      </w:r>
      <w:r w:rsidR="008455EA" w:rsidRPr="00E37C81">
        <w:rPr>
          <w:rFonts w:asciiTheme="minorHAnsi" w:hAnsiTheme="minorHAnsi" w:cstheme="minorHAnsi"/>
          <w:i/>
          <w:sz w:val="22"/>
          <w:szCs w:val="22"/>
        </w:rPr>
        <w:t>American Recovery and Reinvestment Act of 2009</w:t>
      </w:r>
      <w:r w:rsidR="008455EA" w:rsidRPr="00E37C81">
        <w:rPr>
          <w:rFonts w:asciiTheme="minorHAnsi" w:hAnsiTheme="minorHAnsi" w:cstheme="minorHAnsi"/>
          <w:sz w:val="22"/>
          <w:szCs w:val="22"/>
        </w:rPr>
        <w:t xml:space="preserve"> (ARRA) </w:t>
      </w:r>
      <w:r w:rsidRPr="00E37C81">
        <w:rPr>
          <w:rFonts w:asciiTheme="minorHAnsi" w:hAnsiTheme="minorHAnsi" w:cstheme="minorHAnsi"/>
          <w:sz w:val="22"/>
          <w:szCs w:val="22"/>
        </w:rPr>
        <w:t xml:space="preserve">provided that earnings above $3,000 would count towards </w:t>
      </w:r>
      <w:proofErr w:type="spellStart"/>
      <w:r w:rsidRPr="00E37C81">
        <w:rPr>
          <w:rFonts w:asciiTheme="minorHAnsi" w:hAnsiTheme="minorHAnsi" w:cstheme="minorHAnsi"/>
          <w:sz w:val="22"/>
          <w:szCs w:val="22"/>
        </w:rPr>
        <w:t>refundability</w:t>
      </w:r>
      <w:proofErr w:type="spellEnd"/>
      <w:r w:rsidRPr="00E37C81">
        <w:rPr>
          <w:rFonts w:asciiTheme="minorHAnsi" w:hAnsiTheme="minorHAnsi" w:cstheme="minorHAnsi"/>
          <w:sz w:val="22"/>
          <w:szCs w:val="22"/>
        </w:rPr>
        <w:t>.  Th</w:t>
      </w:r>
      <w:r w:rsidR="005A6E5F" w:rsidRPr="00E37C81">
        <w:rPr>
          <w:rFonts w:asciiTheme="minorHAnsi" w:hAnsiTheme="minorHAnsi" w:cstheme="minorHAnsi"/>
          <w:sz w:val="22"/>
          <w:szCs w:val="22"/>
        </w:rPr>
        <w:t>e</w:t>
      </w:r>
      <w:r w:rsidRPr="00E37C81">
        <w:rPr>
          <w:rFonts w:asciiTheme="minorHAnsi" w:hAnsiTheme="minorHAnsi" w:cstheme="minorHAnsi"/>
          <w:sz w:val="22"/>
          <w:szCs w:val="22"/>
        </w:rPr>
        <w:t xml:space="preserve"> </w:t>
      </w:r>
      <w:r w:rsidR="00683E62" w:rsidRPr="00E37C81">
        <w:rPr>
          <w:rFonts w:asciiTheme="minorHAnsi" w:hAnsiTheme="minorHAnsi" w:cstheme="minorHAnsi"/>
          <w:sz w:val="22"/>
          <w:szCs w:val="22"/>
        </w:rPr>
        <w:t xml:space="preserve">bill </w:t>
      </w:r>
      <w:r w:rsidRPr="00E37C81">
        <w:rPr>
          <w:rFonts w:asciiTheme="minorHAnsi" w:hAnsiTheme="minorHAnsi" w:cstheme="minorHAnsi"/>
          <w:sz w:val="22"/>
          <w:szCs w:val="22"/>
        </w:rPr>
        <w:t xml:space="preserve">extends the </w:t>
      </w:r>
      <w:r w:rsidR="005B5D23" w:rsidRPr="00E37C81">
        <w:rPr>
          <w:rFonts w:asciiTheme="minorHAnsi" w:hAnsiTheme="minorHAnsi" w:cstheme="minorHAnsi"/>
          <w:sz w:val="22"/>
          <w:szCs w:val="22"/>
        </w:rPr>
        <w:t>ARRA</w:t>
      </w:r>
      <w:r w:rsidRPr="00E37C81">
        <w:rPr>
          <w:rFonts w:asciiTheme="minorHAnsi" w:hAnsiTheme="minorHAnsi" w:cstheme="minorHAnsi"/>
          <w:sz w:val="22"/>
          <w:szCs w:val="22"/>
        </w:rPr>
        <w:t xml:space="preserve"> child tax credit</w:t>
      </w:r>
      <w:r w:rsidR="005B5D23" w:rsidRPr="00E37C81">
        <w:rPr>
          <w:rFonts w:asciiTheme="minorHAnsi" w:hAnsiTheme="minorHAnsi" w:cstheme="minorHAnsi"/>
          <w:sz w:val="22"/>
          <w:szCs w:val="22"/>
        </w:rPr>
        <w:t xml:space="preserve"> expansion</w:t>
      </w:r>
      <w:r w:rsidRPr="00E37C81">
        <w:rPr>
          <w:rFonts w:asciiTheme="minorHAnsi" w:hAnsiTheme="minorHAnsi" w:cstheme="minorHAnsi"/>
          <w:sz w:val="22"/>
          <w:szCs w:val="22"/>
        </w:rPr>
        <w:t xml:space="preserve"> for </w:t>
      </w:r>
      <w:r w:rsidR="005A6E5F" w:rsidRPr="00E37C81">
        <w:rPr>
          <w:rFonts w:asciiTheme="minorHAnsi" w:hAnsiTheme="minorHAnsi" w:cstheme="minorHAnsi"/>
          <w:sz w:val="22"/>
          <w:szCs w:val="22"/>
        </w:rPr>
        <w:t>five</w:t>
      </w:r>
      <w:r w:rsidR="005226F0" w:rsidRPr="00E37C81">
        <w:rPr>
          <w:rFonts w:asciiTheme="minorHAnsi" w:hAnsiTheme="minorHAnsi" w:cstheme="minorHAnsi"/>
          <w:sz w:val="22"/>
          <w:szCs w:val="22"/>
        </w:rPr>
        <w:t xml:space="preserve"> </w:t>
      </w:r>
      <w:r w:rsidRPr="00E37C81">
        <w:rPr>
          <w:rFonts w:asciiTheme="minorHAnsi" w:hAnsiTheme="minorHAnsi" w:cstheme="minorHAnsi"/>
          <w:sz w:val="22"/>
          <w:szCs w:val="22"/>
        </w:rPr>
        <w:t>additional year</w:t>
      </w:r>
      <w:r w:rsidR="005226F0" w:rsidRPr="00E37C81">
        <w:rPr>
          <w:rFonts w:asciiTheme="minorHAnsi" w:hAnsiTheme="minorHAnsi" w:cstheme="minorHAnsi"/>
          <w:sz w:val="22"/>
          <w:szCs w:val="22"/>
        </w:rPr>
        <w:t>s</w:t>
      </w:r>
      <w:r w:rsidRPr="00E37C81">
        <w:rPr>
          <w:rFonts w:asciiTheme="minorHAnsi" w:hAnsiTheme="minorHAnsi" w:cstheme="minorHAnsi"/>
          <w:sz w:val="22"/>
          <w:szCs w:val="22"/>
        </w:rPr>
        <w:t xml:space="preserve">, through </w:t>
      </w:r>
      <w:r w:rsidR="005226F0" w:rsidRPr="00E37C81">
        <w:rPr>
          <w:rFonts w:asciiTheme="minorHAnsi" w:hAnsiTheme="minorHAnsi" w:cstheme="minorHAnsi"/>
          <w:sz w:val="22"/>
          <w:szCs w:val="22"/>
        </w:rPr>
        <w:t>2017</w:t>
      </w:r>
      <w:r w:rsidRPr="00E37C81">
        <w:rPr>
          <w:rFonts w:asciiTheme="minorHAnsi" w:hAnsiTheme="minorHAnsi" w:cstheme="minorHAnsi"/>
          <w:sz w:val="22"/>
          <w:szCs w:val="22"/>
        </w:rPr>
        <w:t xml:space="preserve">. </w:t>
      </w:r>
    </w:p>
    <w:p w:rsidR="0040227E" w:rsidRPr="00E37C81" w:rsidRDefault="0040227E" w:rsidP="0040227E">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w:t>
      </w:r>
      <w:r w:rsidR="00C101BD" w:rsidRPr="00E37C81">
        <w:rPr>
          <w:rFonts w:asciiTheme="minorHAnsi" w:hAnsiTheme="minorHAnsi"/>
          <w:b w:val="0"/>
          <w:iCs/>
          <w:sz w:val="22"/>
        </w:rPr>
        <w:t>50.518</w:t>
      </w:r>
      <w:r w:rsidRPr="00E37C81">
        <w:rPr>
          <w:rFonts w:asciiTheme="minorHAnsi" w:hAnsiTheme="minorHAnsi"/>
          <w:b w:val="0"/>
          <w:iCs/>
          <w:sz w:val="22"/>
        </w:rPr>
        <w:t xml:space="preserve"> billion over ten years</w:t>
      </w:r>
      <w:r w:rsidR="00B446B4" w:rsidRPr="00E37C81">
        <w:rPr>
          <w:rFonts w:asciiTheme="minorHAnsi" w:hAnsiTheme="minorHAnsi"/>
          <w:b w:val="0"/>
          <w:iCs/>
          <w:sz w:val="22"/>
        </w:rPr>
        <w:t>.</w:t>
      </w:r>
    </w:p>
    <w:p w:rsidR="00B771E6" w:rsidRPr="00E37C81" w:rsidRDefault="00B771E6" w:rsidP="00B771E6">
      <w:pPr>
        <w:spacing w:after="0" w:line="240" w:lineRule="auto"/>
        <w:ind w:left="180"/>
        <w:rPr>
          <w:rFonts w:asciiTheme="minorHAnsi" w:hAnsiTheme="minorHAnsi" w:cstheme="minorHAnsi"/>
          <w:sz w:val="28"/>
          <w:szCs w:val="28"/>
        </w:rPr>
      </w:pPr>
    </w:p>
    <w:p w:rsidR="00B559D9" w:rsidRPr="00E37C81" w:rsidRDefault="00B559D9" w:rsidP="00C4181E">
      <w:pPr>
        <w:pStyle w:val="NoSpacing"/>
        <w:ind w:left="180"/>
        <w:rPr>
          <w:rFonts w:asciiTheme="minorHAnsi" w:hAnsiTheme="minorHAnsi" w:cstheme="minorHAnsi"/>
          <w:bCs/>
          <w:iCs/>
          <w:sz w:val="22"/>
          <w:szCs w:val="22"/>
        </w:rPr>
      </w:pPr>
      <w:r w:rsidRPr="00E37C81">
        <w:rPr>
          <w:rFonts w:asciiTheme="minorHAnsi" w:hAnsiTheme="minorHAnsi" w:cstheme="minorHAnsi"/>
          <w:b/>
          <w:i/>
          <w:sz w:val="22"/>
          <w:szCs w:val="22"/>
        </w:rPr>
        <w:t xml:space="preserve">Temporarily </w:t>
      </w:r>
      <w:r w:rsidRPr="00E37C81">
        <w:rPr>
          <w:rFonts w:asciiTheme="minorHAnsi" w:hAnsiTheme="minorHAnsi" w:cstheme="minorHAnsi"/>
          <w:b/>
          <w:bCs/>
          <w:i/>
          <w:iCs/>
          <w:sz w:val="22"/>
          <w:szCs w:val="22"/>
        </w:rPr>
        <w:t xml:space="preserve">extend third-child EITC. </w:t>
      </w:r>
      <w:r w:rsidRPr="00E37C81">
        <w:rPr>
          <w:rFonts w:asciiTheme="minorHAnsi" w:hAnsiTheme="minorHAnsi" w:cstheme="minorHAnsi"/>
          <w:bCs/>
          <w:iCs/>
          <w:sz w:val="22"/>
          <w:szCs w:val="22"/>
        </w:rPr>
        <w:t xml:space="preserve"> Under current law, working families with two or more children currently qualify for an earned income tax credit equal to 40% of the family’s first $12,570 of earned income. The </w:t>
      </w:r>
      <w:r w:rsidR="005A6E5F" w:rsidRPr="00E37C81">
        <w:rPr>
          <w:rFonts w:asciiTheme="minorHAnsi" w:hAnsiTheme="minorHAnsi" w:cstheme="minorHAnsi"/>
          <w:bCs/>
          <w:iCs/>
          <w:sz w:val="22"/>
          <w:szCs w:val="22"/>
        </w:rPr>
        <w:t>ARRA</w:t>
      </w:r>
      <w:r w:rsidRPr="00E37C81">
        <w:rPr>
          <w:rFonts w:asciiTheme="minorHAnsi" w:hAnsiTheme="minorHAnsi" w:cstheme="minorHAnsi"/>
          <w:bCs/>
          <w:iCs/>
          <w:sz w:val="22"/>
          <w:szCs w:val="22"/>
        </w:rPr>
        <w:t xml:space="preserve"> increased the earned income tax credit to 45% for families with three or more children and increased the beginning point of the phase-out range for all married couples filing a joint return (regardless of the number of children)</w:t>
      </w:r>
      <w:r w:rsidR="00895980" w:rsidRPr="00E37C81">
        <w:rPr>
          <w:rFonts w:asciiTheme="minorHAnsi" w:hAnsiTheme="minorHAnsi" w:cstheme="minorHAnsi"/>
          <w:bCs/>
          <w:iCs/>
          <w:sz w:val="22"/>
          <w:szCs w:val="22"/>
        </w:rPr>
        <w:t xml:space="preserve"> to lessen the marriage penalty</w:t>
      </w:r>
      <w:r w:rsidRPr="00E37C81">
        <w:rPr>
          <w:rFonts w:asciiTheme="minorHAnsi" w:hAnsiTheme="minorHAnsi" w:cstheme="minorHAnsi"/>
          <w:bCs/>
          <w:iCs/>
          <w:sz w:val="22"/>
          <w:szCs w:val="22"/>
        </w:rPr>
        <w:t>.  Th</w:t>
      </w:r>
      <w:r w:rsidR="00683E62" w:rsidRPr="00E37C81">
        <w:rPr>
          <w:rFonts w:asciiTheme="minorHAnsi" w:hAnsiTheme="minorHAnsi" w:cstheme="minorHAnsi"/>
          <w:bCs/>
          <w:iCs/>
          <w:sz w:val="22"/>
          <w:szCs w:val="22"/>
        </w:rPr>
        <w:t>e bill</w:t>
      </w:r>
      <w:r w:rsidRPr="00E37C81">
        <w:rPr>
          <w:rFonts w:asciiTheme="minorHAnsi" w:hAnsiTheme="minorHAnsi" w:cstheme="minorHAnsi"/>
          <w:bCs/>
          <w:iCs/>
          <w:sz w:val="22"/>
          <w:szCs w:val="22"/>
        </w:rPr>
        <w:t xml:space="preserve"> extends for </w:t>
      </w:r>
      <w:r w:rsidR="005A6E5F" w:rsidRPr="00E37C81">
        <w:rPr>
          <w:rFonts w:asciiTheme="minorHAnsi" w:hAnsiTheme="minorHAnsi" w:cstheme="minorHAnsi"/>
          <w:bCs/>
          <w:iCs/>
          <w:sz w:val="22"/>
          <w:szCs w:val="22"/>
        </w:rPr>
        <w:t>five</w:t>
      </w:r>
      <w:r w:rsidR="009A358F" w:rsidRPr="00E37C81">
        <w:rPr>
          <w:rFonts w:asciiTheme="minorHAnsi" w:hAnsiTheme="minorHAnsi" w:cstheme="minorHAnsi"/>
          <w:bCs/>
          <w:iCs/>
          <w:sz w:val="22"/>
          <w:szCs w:val="22"/>
        </w:rPr>
        <w:t xml:space="preserve"> </w:t>
      </w:r>
      <w:r w:rsidRPr="00E37C81">
        <w:rPr>
          <w:rFonts w:asciiTheme="minorHAnsi" w:hAnsiTheme="minorHAnsi" w:cstheme="minorHAnsi"/>
          <w:bCs/>
          <w:iCs/>
          <w:sz w:val="22"/>
          <w:szCs w:val="22"/>
        </w:rPr>
        <w:t>additional</w:t>
      </w:r>
      <w:r w:rsidR="005226F0" w:rsidRPr="00E37C81">
        <w:rPr>
          <w:rFonts w:asciiTheme="minorHAnsi" w:hAnsiTheme="minorHAnsi" w:cstheme="minorHAnsi"/>
          <w:bCs/>
          <w:iCs/>
          <w:sz w:val="22"/>
          <w:szCs w:val="22"/>
        </w:rPr>
        <w:t xml:space="preserve"> </w:t>
      </w:r>
      <w:r w:rsidRPr="00E37C81">
        <w:rPr>
          <w:rFonts w:asciiTheme="minorHAnsi" w:hAnsiTheme="minorHAnsi" w:cstheme="minorHAnsi"/>
          <w:bCs/>
          <w:iCs/>
          <w:sz w:val="22"/>
          <w:szCs w:val="22"/>
        </w:rPr>
        <w:t>year</w:t>
      </w:r>
      <w:r w:rsidR="005226F0" w:rsidRPr="00E37C81">
        <w:rPr>
          <w:rFonts w:asciiTheme="minorHAnsi" w:hAnsiTheme="minorHAnsi" w:cstheme="minorHAnsi"/>
          <w:bCs/>
          <w:iCs/>
          <w:sz w:val="22"/>
          <w:szCs w:val="22"/>
        </w:rPr>
        <w:t>s</w:t>
      </w:r>
      <w:r w:rsidRPr="00E37C81">
        <w:rPr>
          <w:rFonts w:asciiTheme="minorHAnsi" w:hAnsiTheme="minorHAnsi" w:cstheme="minorHAnsi"/>
          <w:bCs/>
          <w:iCs/>
          <w:sz w:val="22"/>
          <w:szCs w:val="22"/>
        </w:rPr>
        <w:t xml:space="preserve">, through </w:t>
      </w:r>
      <w:r w:rsidR="005226F0" w:rsidRPr="00E37C81">
        <w:rPr>
          <w:rFonts w:asciiTheme="minorHAnsi" w:hAnsiTheme="minorHAnsi" w:cstheme="minorHAnsi"/>
          <w:bCs/>
          <w:iCs/>
          <w:sz w:val="22"/>
          <w:szCs w:val="22"/>
        </w:rPr>
        <w:t>2017</w:t>
      </w:r>
      <w:r w:rsidRPr="00E37C81">
        <w:rPr>
          <w:rFonts w:asciiTheme="minorHAnsi" w:hAnsiTheme="minorHAnsi" w:cstheme="minorHAnsi"/>
          <w:bCs/>
          <w:iCs/>
          <w:sz w:val="22"/>
          <w:szCs w:val="22"/>
        </w:rPr>
        <w:t xml:space="preserve">, the </w:t>
      </w:r>
      <w:r w:rsidR="005B5D23" w:rsidRPr="00E37C81">
        <w:rPr>
          <w:rFonts w:asciiTheme="minorHAnsi" w:hAnsiTheme="minorHAnsi" w:cstheme="minorHAnsi"/>
          <w:bCs/>
          <w:iCs/>
          <w:sz w:val="22"/>
          <w:szCs w:val="22"/>
        </w:rPr>
        <w:t>ARRA</w:t>
      </w:r>
      <w:r w:rsidRPr="00E37C81">
        <w:rPr>
          <w:rFonts w:asciiTheme="minorHAnsi" w:hAnsiTheme="minorHAnsi" w:cstheme="minorHAnsi"/>
          <w:bCs/>
          <w:iCs/>
          <w:sz w:val="22"/>
          <w:szCs w:val="22"/>
        </w:rPr>
        <w:t xml:space="preserve"> </w:t>
      </w:r>
      <w:r w:rsidR="005B5D23" w:rsidRPr="00E37C81">
        <w:rPr>
          <w:rFonts w:asciiTheme="minorHAnsi" w:hAnsiTheme="minorHAnsi" w:cstheme="minorHAnsi"/>
          <w:bCs/>
          <w:iCs/>
          <w:sz w:val="22"/>
          <w:szCs w:val="22"/>
        </w:rPr>
        <w:t>expansions</w:t>
      </w:r>
      <w:r w:rsidRPr="00E37C81">
        <w:rPr>
          <w:rFonts w:asciiTheme="minorHAnsi" w:hAnsiTheme="minorHAnsi" w:cstheme="minorHAnsi"/>
          <w:bCs/>
          <w:iCs/>
          <w:sz w:val="22"/>
          <w:szCs w:val="22"/>
        </w:rPr>
        <w:t xml:space="preserve"> that increased the </w:t>
      </w:r>
      <w:r w:rsidR="005B5D23" w:rsidRPr="00E37C81">
        <w:rPr>
          <w:rFonts w:asciiTheme="minorHAnsi" w:hAnsiTheme="minorHAnsi" w:cstheme="minorHAnsi"/>
          <w:bCs/>
          <w:iCs/>
          <w:sz w:val="22"/>
          <w:szCs w:val="22"/>
        </w:rPr>
        <w:t>EITC</w:t>
      </w:r>
      <w:r w:rsidRPr="00E37C81">
        <w:rPr>
          <w:rFonts w:asciiTheme="minorHAnsi" w:hAnsiTheme="minorHAnsi" w:cstheme="minorHAnsi"/>
          <w:bCs/>
          <w:iCs/>
          <w:sz w:val="22"/>
          <w:szCs w:val="22"/>
        </w:rPr>
        <w:t xml:space="preserve"> for families with three or more children and increased the phase-out range for all married couples filing a joint return.  </w:t>
      </w:r>
    </w:p>
    <w:p w:rsidR="0040227E" w:rsidRPr="00E37C81" w:rsidRDefault="0040227E" w:rsidP="0040227E">
      <w:pPr>
        <w:pStyle w:val="Heading3"/>
        <w:spacing w:before="40"/>
        <w:ind w:left="187"/>
        <w:rPr>
          <w:rFonts w:asciiTheme="minorHAnsi" w:hAnsiTheme="minorHAnsi"/>
          <w:b w:val="0"/>
          <w:i w:val="0"/>
          <w:sz w:val="22"/>
        </w:rPr>
      </w:pPr>
      <w:r w:rsidRPr="00E37C81">
        <w:rPr>
          <w:rFonts w:asciiTheme="minorHAnsi" w:hAnsiTheme="minorHAnsi"/>
          <w:b w:val="0"/>
          <w:iCs/>
          <w:sz w:val="22"/>
        </w:rPr>
        <w:t>This provision is estimated to cost $</w:t>
      </w:r>
      <w:r w:rsidR="00A239B0" w:rsidRPr="00E37C81">
        <w:rPr>
          <w:rFonts w:asciiTheme="minorHAnsi" w:hAnsiTheme="minorHAnsi"/>
          <w:b w:val="0"/>
          <w:iCs/>
          <w:sz w:val="22"/>
        </w:rPr>
        <w:t>16.446</w:t>
      </w:r>
      <w:r w:rsidRPr="00E37C81">
        <w:rPr>
          <w:rFonts w:asciiTheme="minorHAnsi" w:hAnsiTheme="minorHAnsi"/>
          <w:b w:val="0"/>
          <w:iCs/>
          <w:sz w:val="22"/>
        </w:rPr>
        <w:t xml:space="preserve"> billion over ten years</w:t>
      </w:r>
      <w:r w:rsidR="00B446B4" w:rsidRPr="00E37C81">
        <w:rPr>
          <w:rFonts w:asciiTheme="minorHAnsi" w:hAnsiTheme="minorHAnsi"/>
          <w:b w:val="0"/>
          <w:iCs/>
          <w:sz w:val="22"/>
        </w:rPr>
        <w:t>.</w:t>
      </w:r>
    </w:p>
    <w:p w:rsidR="00001FC7" w:rsidRPr="006220A8" w:rsidRDefault="00001FC7" w:rsidP="00B02B34">
      <w:pPr>
        <w:pStyle w:val="NoSpacing"/>
        <w:rPr>
          <w:rFonts w:asciiTheme="minorHAnsi" w:hAnsiTheme="minorHAnsi" w:cstheme="minorHAnsi"/>
          <w:b/>
          <w:bCs/>
          <w:iCs/>
          <w:sz w:val="28"/>
          <w:szCs w:val="28"/>
          <w:u w:val="single"/>
        </w:rPr>
      </w:pPr>
    </w:p>
    <w:p w:rsidR="00615D4E" w:rsidRPr="00E37C81" w:rsidRDefault="00615D4E" w:rsidP="00615D4E">
      <w:pPr>
        <w:pStyle w:val="Heading3"/>
        <w:spacing w:before="0"/>
        <w:ind w:left="180"/>
        <w:rPr>
          <w:rFonts w:asciiTheme="minorHAnsi" w:hAnsiTheme="minorHAnsi" w:cstheme="minorHAnsi"/>
          <w:sz w:val="22"/>
        </w:rPr>
      </w:pPr>
      <w:r w:rsidRPr="00E37C81">
        <w:rPr>
          <w:rFonts w:asciiTheme="minorHAnsi" w:hAnsiTheme="minorHAnsi" w:cstheme="minorHAnsi"/>
          <w:sz w:val="22"/>
        </w:rPr>
        <w:t>Permanently extend refund and tax credit disregard for means-tested programs </w:t>
      </w:r>
    </w:p>
    <w:p w:rsidR="00615D4E" w:rsidRPr="00E37C81" w:rsidRDefault="00615D4E" w:rsidP="00615D4E">
      <w:pPr>
        <w:pStyle w:val="NoSpacing"/>
        <w:ind w:left="180"/>
        <w:rPr>
          <w:rFonts w:asciiTheme="minorHAnsi" w:hAnsiTheme="minorHAnsi" w:cstheme="minorHAnsi"/>
          <w:sz w:val="22"/>
          <w:szCs w:val="22"/>
        </w:rPr>
      </w:pPr>
      <w:r w:rsidRPr="00E37C81">
        <w:rPr>
          <w:rFonts w:asciiTheme="minorHAnsi" w:hAnsiTheme="minorHAnsi" w:cstheme="minorHAnsi"/>
          <w:sz w:val="22"/>
          <w:szCs w:val="22"/>
        </w:rPr>
        <w:t xml:space="preserve">Current law ensures that the refundable components of the EITC and the Child Tax Credit do not make households ineligible for means-tested benefit programs and includes provisions stating that these tax credits do not count as income in determining eligibility (and benefit levels) in means-tested benefit programs, and also do not count as assets for specified periods of time. Without them, the receipt of a tax credit would put a substantial number of families over the income limits for these programs in the month that the tax refund is received.  A provision enacted as part of the </w:t>
      </w:r>
      <w:r w:rsidRPr="00E37C81">
        <w:rPr>
          <w:rFonts w:asciiTheme="minorHAnsi" w:hAnsiTheme="minorHAnsi" w:cstheme="minorHAnsi"/>
          <w:iCs/>
          <w:sz w:val="22"/>
          <w:szCs w:val="22"/>
        </w:rPr>
        <w:t>TRUIRJCA</w:t>
      </w:r>
      <w:r w:rsidRPr="00E37C81">
        <w:rPr>
          <w:rFonts w:asciiTheme="minorHAnsi" w:hAnsiTheme="minorHAnsi" w:cstheme="minorHAnsi"/>
          <w:i/>
          <w:iCs/>
          <w:sz w:val="22"/>
          <w:szCs w:val="22"/>
        </w:rPr>
        <w:t xml:space="preserve">, </w:t>
      </w:r>
      <w:r w:rsidRPr="00E37C81">
        <w:rPr>
          <w:rFonts w:asciiTheme="minorHAnsi" w:hAnsiTheme="minorHAnsi" w:cstheme="minorHAnsi"/>
          <w:sz w:val="22"/>
          <w:szCs w:val="22"/>
        </w:rPr>
        <w:t xml:space="preserve">disregarded all refundable tax credits and refunds as income for means-tested programs through 2012.  The bill permanently extends the provision for any amount received after December 31, 2012.  </w:t>
      </w:r>
    </w:p>
    <w:p w:rsidR="00615D4E" w:rsidRPr="00E37C81" w:rsidRDefault="00615D4E" w:rsidP="00615D4E">
      <w:pPr>
        <w:pStyle w:val="Heading3"/>
        <w:spacing w:before="40"/>
        <w:ind w:left="187"/>
        <w:rPr>
          <w:rFonts w:asciiTheme="minorHAnsi" w:hAnsiTheme="minorHAnsi"/>
          <w:b w:val="0"/>
          <w:iCs/>
          <w:sz w:val="22"/>
        </w:rPr>
      </w:pPr>
      <w:r w:rsidRPr="00E37C81">
        <w:rPr>
          <w:rFonts w:asciiTheme="minorHAnsi" w:hAnsiTheme="minorHAnsi"/>
          <w:b w:val="0"/>
          <w:iCs/>
          <w:sz w:val="22"/>
        </w:rPr>
        <w:t xml:space="preserve">A score for this provision </w:t>
      </w:r>
      <w:r>
        <w:rPr>
          <w:rFonts w:asciiTheme="minorHAnsi" w:hAnsiTheme="minorHAnsi"/>
          <w:b w:val="0"/>
          <w:iCs/>
          <w:sz w:val="22"/>
        </w:rPr>
        <w:t>will be provided by the Congressional Budget Office</w:t>
      </w:r>
      <w:r w:rsidRPr="00E37C81">
        <w:rPr>
          <w:rFonts w:asciiTheme="minorHAnsi" w:hAnsiTheme="minorHAnsi"/>
          <w:b w:val="0"/>
          <w:iCs/>
          <w:sz w:val="22"/>
        </w:rPr>
        <w:t>.</w:t>
      </w:r>
    </w:p>
    <w:p w:rsidR="006220A8" w:rsidRDefault="006220A8" w:rsidP="006220A8">
      <w:pPr>
        <w:spacing w:line="240" w:lineRule="auto"/>
        <w:rPr>
          <w:rFonts w:asciiTheme="minorHAnsi" w:hAnsiTheme="minorHAnsi" w:cstheme="minorHAnsi"/>
          <w:b/>
          <w:sz w:val="22"/>
          <w:u w:val="single"/>
        </w:rPr>
      </w:pPr>
    </w:p>
    <w:p w:rsidR="00E37B57" w:rsidRPr="00E37C81" w:rsidRDefault="009A358F" w:rsidP="006220A8">
      <w:pPr>
        <w:spacing w:line="240" w:lineRule="auto"/>
      </w:pPr>
      <w:r w:rsidRPr="006220A8">
        <w:rPr>
          <w:rFonts w:asciiTheme="minorHAnsi" w:hAnsiTheme="minorHAnsi" w:cstheme="minorHAnsi"/>
          <w:b/>
          <w:sz w:val="22"/>
          <w:u w:val="single"/>
        </w:rPr>
        <w:t xml:space="preserve">Permanent </w:t>
      </w:r>
      <w:r w:rsidR="0090526B">
        <w:rPr>
          <w:rFonts w:asciiTheme="minorHAnsi" w:hAnsiTheme="minorHAnsi" w:cstheme="minorHAnsi"/>
          <w:b/>
          <w:sz w:val="22"/>
          <w:u w:val="single"/>
        </w:rPr>
        <w:t>i</w:t>
      </w:r>
      <w:r w:rsidR="00E37B57" w:rsidRPr="006220A8">
        <w:rPr>
          <w:rFonts w:asciiTheme="minorHAnsi" w:hAnsiTheme="minorHAnsi" w:cstheme="minorHAnsi"/>
          <w:b/>
          <w:sz w:val="22"/>
          <w:u w:val="single"/>
        </w:rPr>
        <w:t xml:space="preserve">ndividual Alternative Minimum Tax (AMT) </w:t>
      </w:r>
      <w:r w:rsidR="0090526B">
        <w:rPr>
          <w:rFonts w:asciiTheme="minorHAnsi" w:hAnsiTheme="minorHAnsi" w:cstheme="minorHAnsi"/>
          <w:b/>
          <w:sz w:val="22"/>
          <w:u w:val="single"/>
        </w:rPr>
        <w:t>r</w:t>
      </w:r>
      <w:r w:rsidR="00E37B57" w:rsidRPr="006220A8">
        <w:rPr>
          <w:rFonts w:asciiTheme="minorHAnsi" w:hAnsiTheme="minorHAnsi" w:cstheme="minorHAnsi"/>
          <w:b/>
          <w:sz w:val="22"/>
          <w:u w:val="single"/>
        </w:rPr>
        <w:t>elief</w:t>
      </w:r>
    </w:p>
    <w:p w:rsidR="006007D5" w:rsidRPr="00E37C81" w:rsidRDefault="009A358F" w:rsidP="00A54317">
      <w:pPr>
        <w:pStyle w:val="NoSpacing"/>
        <w:ind w:left="180"/>
        <w:rPr>
          <w:rFonts w:asciiTheme="minorHAnsi" w:hAnsiTheme="minorHAnsi" w:cstheme="minorHAnsi"/>
          <w:sz w:val="22"/>
          <w:szCs w:val="22"/>
        </w:rPr>
      </w:pPr>
      <w:proofErr w:type="gramStart"/>
      <w:r w:rsidRPr="00E37C81">
        <w:rPr>
          <w:rFonts w:asciiTheme="minorHAnsi" w:hAnsiTheme="minorHAnsi" w:cstheme="minorHAnsi"/>
          <w:b/>
          <w:i/>
          <w:sz w:val="22"/>
          <w:szCs w:val="22"/>
        </w:rPr>
        <w:t xml:space="preserve">Permanent </w:t>
      </w:r>
      <w:r w:rsidR="00E37B57" w:rsidRPr="00E37C81">
        <w:rPr>
          <w:rFonts w:asciiTheme="minorHAnsi" w:hAnsiTheme="minorHAnsi" w:cstheme="minorHAnsi"/>
          <w:b/>
          <w:i/>
          <w:sz w:val="22"/>
          <w:szCs w:val="22"/>
        </w:rPr>
        <w:t>AMT patch.</w:t>
      </w:r>
      <w:proofErr w:type="gramEnd"/>
      <w:r w:rsidR="00E37B57" w:rsidRPr="00E37C81">
        <w:rPr>
          <w:rFonts w:asciiTheme="minorHAnsi" w:hAnsiTheme="minorHAnsi" w:cstheme="minorHAnsi"/>
          <w:i/>
          <w:sz w:val="22"/>
          <w:szCs w:val="22"/>
        </w:rPr>
        <w:t xml:space="preserve"> </w:t>
      </w:r>
      <w:r w:rsidR="00E37B57" w:rsidRPr="00E37C81">
        <w:rPr>
          <w:rFonts w:asciiTheme="minorHAnsi" w:hAnsiTheme="minorHAnsi" w:cstheme="minorHAnsi"/>
          <w:sz w:val="22"/>
          <w:szCs w:val="22"/>
        </w:rPr>
        <w:t xml:space="preserve">Currently, a taxpayer receives an exemption of $33,750 (individuals) and $45,000 (married filing jointly) under the AMT.  Current law also does not allow nonrefundable personal credits against the AMT.  The </w:t>
      </w:r>
      <w:r w:rsidR="009F35CB" w:rsidRPr="00E37C81">
        <w:rPr>
          <w:rFonts w:asciiTheme="minorHAnsi" w:hAnsiTheme="minorHAnsi" w:cstheme="minorHAnsi"/>
          <w:sz w:val="22"/>
          <w:szCs w:val="22"/>
        </w:rPr>
        <w:t>bill</w:t>
      </w:r>
      <w:r w:rsidR="00E37B57" w:rsidRPr="00E37C81">
        <w:rPr>
          <w:rFonts w:asciiTheme="minorHAnsi" w:hAnsiTheme="minorHAnsi" w:cstheme="minorHAnsi"/>
          <w:sz w:val="22"/>
          <w:szCs w:val="22"/>
        </w:rPr>
        <w:t xml:space="preserve"> increases the exemption amounts for 201</w:t>
      </w:r>
      <w:r w:rsidR="00B47D23" w:rsidRPr="00E37C81">
        <w:rPr>
          <w:rFonts w:asciiTheme="minorHAnsi" w:hAnsiTheme="minorHAnsi" w:cstheme="minorHAnsi"/>
          <w:sz w:val="22"/>
          <w:szCs w:val="22"/>
        </w:rPr>
        <w:t>2</w:t>
      </w:r>
      <w:r w:rsidR="00E37B57" w:rsidRPr="00E37C81">
        <w:rPr>
          <w:rFonts w:asciiTheme="minorHAnsi" w:hAnsiTheme="minorHAnsi" w:cstheme="minorHAnsi"/>
          <w:sz w:val="22"/>
          <w:szCs w:val="22"/>
        </w:rPr>
        <w:t xml:space="preserve"> to $</w:t>
      </w:r>
      <w:r w:rsidR="00E11D0B" w:rsidRPr="00E37C81">
        <w:rPr>
          <w:rFonts w:asciiTheme="minorHAnsi" w:hAnsiTheme="minorHAnsi" w:cstheme="minorHAnsi"/>
          <w:sz w:val="22"/>
          <w:szCs w:val="22"/>
        </w:rPr>
        <w:t>50,600</w:t>
      </w:r>
      <w:r w:rsidR="00E37B57" w:rsidRPr="00E37C81">
        <w:rPr>
          <w:rFonts w:asciiTheme="minorHAnsi" w:hAnsiTheme="minorHAnsi" w:cstheme="minorHAnsi"/>
          <w:sz w:val="22"/>
          <w:szCs w:val="22"/>
        </w:rPr>
        <w:t xml:space="preserve"> (individuals) and $</w:t>
      </w:r>
      <w:r w:rsidR="00E11D0B" w:rsidRPr="00E37C81">
        <w:rPr>
          <w:rFonts w:asciiTheme="minorHAnsi" w:hAnsiTheme="minorHAnsi" w:cstheme="minorHAnsi"/>
          <w:sz w:val="22"/>
          <w:szCs w:val="22"/>
        </w:rPr>
        <w:t>78,750</w:t>
      </w:r>
      <w:r w:rsidR="00E37B57" w:rsidRPr="00E37C81">
        <w:rPr>
          <w:rFonts w:asciiTheme="minorHAnsi" w:hAnsiTheme="minorHAnsi" w:cstheme="minorHAnsi"/>
          <w:sz w:val="22"/>
          <w:szCs w:val="22"/>
        </w:rPr>
        <w:t xml:space="preserve"> (married filing jointly)</w:t>
      </w:r>
      <w:r w:rsidRPr="00E37C81">
        <w:rPr>
          <w:rFonts w:asciiTheme="minorHAnsi" w:hAnsiTheme="minorHAnsi" w:cstheme="minorHAnsi"/>
          <w:sz w:val="22"/>
          <w:szCs w:val="22"/>
        </w:rPr>
        <w:t xml:space="preserve"> and indexes </w:t>
      </w:r>
      <w:r w:rsidR="009D1490" w:rsidRPr="00E37C81">
        <w:rPr>
          <w:rFonts w:asciiTheme="minorHAnsi" w:hAnsiTheme="minorHAnsi" w:cstheme="minorHAnsi"/>
          <w:sz w:val="22"/>
          <w:szCs w:val="22"/>
        </w:rPr>
        <w:t xml:space="preserve">the exemption </w:t>
      </w:r>
      <w:r w:rsidR="00A54317" w:rsidRPr="00E37C81">
        <w:rPr>
          <w:rFonts w:asciiTheme="minorHAnsi" w:hAnsiTheme="minorHAnsi" w:cstheme="minorHAnsi"/>
          <w:sz w:val="22"/>
          <w:szCs w:val="22"/>
        </w:rPr>
        <w:t xml:space="preserve">and </w:t>
      </w:r>
      <w:proofErr w:type="spellStart"/>
      <w:r w:rsidR="00A54317" w:rsidRPr="00E37C81">
        <w:rPr>
          <w:rFonts w:asciiTheme="minorHAnsi" w:hAnsiTheme="minorHAnsi" w:cstheme="minorHAnsi"/>
          <w:sz w:val="22"/>
          <w:szCs w:val="22"/>
        </w:rPr>
        <w:t>phaseout</w:t>
      </w:r>
      <w:proofErr w:type="spellEnd"/>
      <w:r w:rsidR="00A54317" w:rsidRPr="00E37C81">
        <w:rPr>
          <w:rFonts w:asciiTheme="minorHAnsi" w:hAnsiTheme="minorHAnsi" w:cstheme="minorHAnsi"/>
          <w:sz w:val="22"/>
          <w:szCs w:val="22"/>
        </w:rPr>
        <w:t xml:space="preserve"> </w:t>
      </w:r>
      <w:r w:rsidR="009D1490" w:rsidRPr="00E37C81">
        <w:rPr>
          <w:rFonts w:asciiTheme="minorHAnsi" w:hAnsiTheme="minorHAnsi" w:cstheme="minorHAnsi"/>
          <w:sz w:val="22"/>
          <w:szCs w:val="22"/>
        </w:rPr>
        <w:t>amount</w:t>
      </w:r>
      <w:r w:rsidR="00A54317" w:rsidRPr="00E37C81">
        <w:rPr>
          <w:rFonts w:asciiTheme="minorHAnsi" w:hAnsiTheme="minorHAnsi" w:cstheme="minorHAnsi"/>
          <w:sz w:val="22"/>
          <w:szCs w:val="22"/>
        </w:rPr>
        <w:t>s</w:t>
      </w:r>
      <w:r w:rsidR="009D1490" w:rsidRPr="00E37C81">
        <w:rPr>
          <w:rFonts w:asciiTheme="minorHAnsi" w:hAnsiTheme="minorHAnsi" w:cstheme="minorHAnsi"/>
          <w:sz w:val="22"/>
          <w:szCs w:val="22"/>
        </w:rPr>
        <w:t xml:space="preserve"> </w:t>
      </w:r>
      <w:r w:rsidRPr="00E37C81">
        <w:rPr>
          <w:rFonts w:asciiTheme="minorHAnsi" w:hAnsiTheme="minorHAnsi" w:cstheme="minorHAnsi"/>
          <w:sz w:val="22"/>
          <w:szCs w:val="22"/>
        </w:rPr>
        <w:t>thereafter</w:t>
      </w:r>
      <w:r w:rsidR="00E37B57" w:rsidRPr="00E37C81">
        <w:rPr>
          <w:rFonts w:asciiTheme="minorHAnsi" w:hAnsiTheme="minorHAnsi" w:cstheme="minorHAnsi"/>
          <w:sz w:val="22"/>
          <w:szCs w:val="22"/>
        </w:rPr>
        <w:t xml:space="preserve">.  The </w:t>
      </w:r>
      <w:r w:rsidR="009F35CB" w:rsidRPr="00E37C81">
        <w:rPr>
          <w:rFonts w:asciiTheme="minorHAnsi" w:hAnsiTheme="minorHAnsi" w:cstheme="minorHAnsi"/>
          <w:sz w:val="22"/>
          <w:szCs w:val="22"/>
        </w:rPr>
        <w:t>bill</w:t>
      </w:r>
      <w:r w:rsidR="00E37B57" w:rsidRPr="00E37C81">
        <w:rPr>
          <w:rFonts w:asciiTheme="minorHAnsi" w:hAnsiTheme="minorHAnsi" w:cstheme="minorHAnsi"/>
          <w:sz w:val="22"/>
          <w:szCs w:val="22"/>
        </w:rPr>
        <w:t xml:space="preserve"> also allows the nonrefundable personal credits against the AMT.  The </w:t>
      </w:r>
      <w:r w:rsidR="009F35CB" w:rsidRPr="00E37C81">
        <w:rPr>
          <w:rFonts w:asciiTheme="minorHAnsi" w:hAnsiTheme="minorHAnsi" w:cstheme="minorHAnsi"/>
          <w:sz w:val="22"/>
          <w:szCs w:val="22"/>
        </w:rPr>
        <w:t>bill</w:t>
      </w:r>
      <w:r w:rsidR="00E37B57" w:rsidRPr="00E37C81">
        <w:rPr>
          <w:rFonts w:asciiTheme="minorHAnsi" w:hAnsiTheme="minorHAnsi" w:cstheme="minorHAnsi"/>
          <w:sz w:val="22"/>
          <w:szCs w:val="22"/>
        </w:rPr>
        <w:t xml:space="preserve"> is effective for taxable years </w:t>
      </w:r>
      <w:r w:rsidR="00E11D0B" w:rsidRPr="00E37C81">
        <w:rPr>
          <w:rFonts w:asciiTheme="minorHAnsi" w:hAnsiTheme="minorHAnsi" w:cstheme="minorHAnsi"/>
          <w:sz w:val="22"/>
          <w:szCs w:val="22"/>
        </w:rPr>
        <w:t xml:space="preserve">beginning after December 31, </w:t>
      </w:r>
      <w:r w:rsidRPr="00E37C81">
        <w:rPr>
          <w:rFonts w:asciiTheme="minorHAnsi" w:hAnsiTheme="minorHAnsi" w:cstheme="minorHAnsi"/>
          <w:sz w:val="22"/>
          <w:szCs w:val="22"/>
        </w:rPr>
        <w:t>201</w:t>
      </w:r>
      <w:r w:rsidR="00A54317" w:rsidRPr="00E37C81">
        <w:rPr>
          <w:rFonts w:asciiTheme="minorHAnsi" w:hAnsiTheme="minorHAnsi" w:cstheme="minorHAnsi"/>
          <w:sz w:val="22"/>
          <w:szCs w:val="22"/>
        </w:rPr>
        <w:t>1</w:t>
      </w:r>
      <w:r w:rsidR="00E37B57" w:rsidRPr="00E37C81">
        <w:rPr>
          <w:rFonts w:asciiTheme="minorHAnsi" w:hAnsiTheme="minorHAnsi" w:cstheme="minorHAnsi"/>
          <w:sz w:val="22"/>
          <w:szCs w:val="22"/>
        </w:rPr>
        <w:t xml:space="preserve">.  </w:t>
      </w:r>
    </w:p>
    <w:p w:rsidR="00E37B57" w:rsidRPr="00E37C81" w:rsidRDefault="006007D5" w:rsidP="0065097D">
      <w:pPr>
        <w:pStyle w:val="Heading3"/>
        <w:spacing w:before="40"/>
        <w:ind w:left="187"/>
        <w:rPr>
          <w:rFonts w:asciiTheme="minorHAnsi" w:hAnsiTheme="minorHAnsi"/>
          <w:b w:val="0"/>
          <w:iCs/>
          <w:sz w:val="22"/>
        </w:rPr>
      </w:pPr>
      <w:r w:rsidRPr="00E37C81">
        <w:rPr>
          <w:rFonts w:asciiTheme="minorHAnsi" w:hAnsiTheme="minorHAnsi"/>
          <w:b w:val="0"/>
          <w:iCs/>
          <w:sz w:val="22"/>
        </w:rPr>
        <w:t>This provision is estimated to cost $1,815.6 billion over ten years</w:t>
      </w:r>
      <w:r w:rsidR="00B446B4" w:rsidRPr="00E37C81">
        <w:rPr>
          <w:rFonts w:asciiTheme="minorHAnsi" w:hAnsiTheme="minorHAnsi"/>
          <w:b w:val="0"/>
          <w:iCs/>
          <w:sz w:val="22"/>
        </w:rPr>
        <w:t>.</w:t>
      </w:r>
    </w:p>
    <w:p w:rsidR="00E37B57" w:rsidRPr="00E37C81" w:rsidRDefault="00E37B57" w:rsidP="00B02B34">
      <w:pPr>
        <w:pStyle w:val="BodyTextIndent"/>
        <w:ind w:left="1080" w:right="360" w:firstLine="0"/>
        <w:rPr>
          <w:rFonts w:asciiTheme="minorHAnsi" w:hAnsiTheme="minorHAnsi" w:cstheme="minorHAnsi"/>
          <w:b/>
          <w:sz w:val="22"/>
          <w:szCs w:val="22"/>
        </w:rPr>
      </w:pPr>
    </w:p>
    <w:p w:rsidR="00357334" w:rsidRPr="00E37C81" w:rsidRDefault="00CE04A9" w:rsidP="00CE04A9">
      <w:pPr>
        <w:pStyle w:val="Heading1"/>
        <w:rPr>
          <w:szCs w:val="24"/>
        </w:rPr>
      </w:pPr>
      <w:r>
        <w:rPr>
          <w:i/>
          <w:color w:val="auto"/>
          <w:sz w:val="24"/>
          <w:szCs w:val="24"/>
        </w:rPr>
        <w:t xml:space="preserve">Title </w:t>
      </w:r>
      <w:r w:rsidR="00357334" w:rsidRPr="00E37C81">
        <w:rPr>
          <w:i/>
          <w:color w:val="auto"/>
          <w:sz w:val="24"/>
          <w:szCs w:val="24"/>
        </w:rPr>
        <w:t>I</w:t>
      </w:r>
      <w:r w:rsidR="006220A8">
        <w:rPr>
          <w:i/>
          <w:color w:val="auto"/>
          <w:sz w:val="24"/>
          <w:szCs w:val="24"/>
        </w:rPr>
        <w:t>I</w:t>
      </w:r>
      <w:r w:rsidR="0090526B">
        <w:rPr>
          <w:i/>
          <w:color w:val="auto"/>
          <w:sz w:val="24"/>
          <w:szCs w:val="24"/>
        </w:rPr>
        <w:t>.</w:t>
      </w:r>
      <w:r>
        <w:rPr>
          <w:i/>
          <w:color w:val="auto"/>
          <w:sz w:val="24"/>
          <w:szCs w:val="24"/>
        </w:rPr>
        <w:t xml:space="preserve"> </w:t>
      </w:r>
      <w:r w:rsidR="006220A8">
        <w:rPr>
          <w:i/>
          <w:color w:val="auto"/>
          <w:sz w:val="24"/>
          <w:szCs w:val="24"/>
        </w:rPr>
        <w:t xml:space="preserve">Individual </w:t>
      </w:r>
      <w:r w:rsidR="00683E62" w:rsidRPr="00E37C81">
        <w:rPr>
          <w:i/>
          <w:color w:val="auto"/>
          <w:sz w:val="24"/>
          <w:szCs w:val="24"/>
        </w:rPr>
        <w:t>Tax E</w:t>
      </w:r>
      <w:r w:rsidR="00357334" w:rsidRPr="00E37C81">
        <w:rPr>
          <w:i/>
          <w:color w:val="auto"/>
          <w:sz w:val="24"/>
          <w:szCs w:val="24"/>
        </w:rPr>
        <w:t>xtenders</w:t>
      </w:r>
    </w:p>
    <w:p w:rsidR="007718AC" w:rsidRPr="00E37C81" w:rsidRDefault="001D2AE9">
      <w:pPr>
        <w:pStyle w:val="Heading3"/>
        <w:ind w:left="180"/>
        <w:rPr>
          <w:rFonts w:asciiTheme="minorHAnsi" w:hAnsiTheme="minorHAnsi"/>
          <w:b w:val="0"/>
          <w:i w:val="0"/>
          <w:sz w:val="22"/>
        </w:rPr>
      </w:pPr>
      <w:proofErr w:type="gramStart"/>
      <w:r w:rsidRPr="00E37C81">
        <w:rPr>
          <w:rFonts w:asciiTheme="minorHAnsi" w:hAnsiTheme="minorHAnsi"/>
          <w:sz w:val="22"/>
        </w:rPr>
        <w:t>Deduction for certain expenses of elementary and secondary school teachers.</w:t>
      </w:r>
      <w:proofErr w:type="gramEnd"/>
      <w:r w:rsidRPr="00E37C81">
        <w:rPr>
          <w:rFonts w:asciiTheme="minorHAnsi" w:hAnsiTheme="minorHAnsi"/>
          <w:b w:val="0"/>
          <w:i w:val="0"/>
          <w:sz w:val="22"/>
        </w:rPr>
        <w:t xml:space="preserve">  The bill extends for two years the $250 above-the-line tax deduction for teachers and other school professionals for expenses paid or incurred for books, supplies (other than non-athletic supplies for courses of instruction in health or physical education), computer equipment (including related software and service), other equipment, and supplementary materials used by the educator in the classroom.  </w:t>
      </w:r>
    </w:p>
    <w:p w:rsidR="001D2AE9" w:rsidRPr="00E37C81" w:rsidRDefault="006B1B38" w:rsidP="00A87DB4">
      <w:pPr>
        <w:pStyle w:val="Heading3"/>
        <w:spacing w:before="40"/>
        <w:ind w:left="187"/>
        <w:rPr>
          <w:rFonts w:asciiTheme="minorHAnsi" w:hAnsiTheme="minorHAnsi"/>
          <w:b w:val="0"/>
          <w:i w:val="0"/>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w:t>
      </w:r>
      <w:r w:rsidR="001210E3" w:rsidRPr="00E37C81">
        <w:rPr>
          <w:rFonts w:asciiTheme="minorHAnsi" w:hAnsiTheme="minorHAnsi"/>
          <w:b w:val="0"/>
          <w:iCs/>
          <w:sz w:val="22"/>
        </w:rPr>
        <w:t>406</w:t>
      </w:r>
      <w:r w:rsidR="001D2AE9" w:rsidRPr="00E37C81">
        <w:rPr>
          <w:rFonts w:asciiTheme="minorHAnsi" w:hAnsiTheme="minorHAnsi"/>
          <w:b w:val="0"/>
          <w:iCs/>
          <w:sz w:val="22"/>
        </w:rPr>
        <w:t xml:space="preserve">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eastAsia="Times New Roman" w:hAnsiTheme="minorHAnsi"/>
          <w:sz w:val="22"/>
        </w:rPr>
        <w:t>Mortgage Debt Relief.</w:t>
      </w:r>
      <w:proofErr w:type="gramEnd"/>
      <w:r w:rsidRPr="00E37C81">
        <w:rPr>
          <w:rFonts w:asciiTheme="minorHAnsi" w:eastAsia="Times New Roman" w:hAnsiTheme="minorHAnsi"/>
          <w:b w:val="0"/>
          <w:i w:val="0"/>
          <w:sz w:val="22"/>
        </w:rPr>
        <w:t xml:space="preserve">  </w:t>
      </w:r>
      <w:r w:rsidRPr="00E37C81">
        <w:rPr>
          <w:rFonts w:asciiTheme="minorHAnsi" w:hAnsiTheme="minorHAnsi"/>
          <w:b w:val="0"/>
          <w:i w:val="0"/>
          <w:sz w:val="22"/>
        </w:rPr>
        <w:t>Under current law, taxpayers who have mortgage debt canceled or forgiven after 2012 may be required to pay taxes on that amount as taxable income.  Under this provision, up to $2 million of forgiven debt is eligible to be excluded from income ($1 million if married filing separately) through tax year 2013.  This provision was created in the Mortgage Debt Relief Act of 2007 to prevent the taxation of so-called “shadow income” from foreclosures and cancelled debts through 2010.  It was extended through 2012 by the Emergency Economic Stabilization Act of 2008. </w:t>
      </w:r>
      <w:r w:rsidRPr="00E37C81">
        <w:rPr>
          <w:rFonts w:asciiTheme="minorHAnsi" w:hAnsiTheme="minorHAnsi"/>
          <w:b w:val="0"/>
          <w:i w:val="0"/>
          <w:iCs/>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$1.3</w:t>
      </w:r>
      <w:r w:rsidR="00C101BD" w:rsidRPr="00E37C81">
        <w:rPr>
          <w:rFonts w:asciiTheme="minorHAnsi" w:hAnsiTheme="minorHAnsi"/>
          <w:b w:val="0"/>
          <w:iCs/>
          <w:sz w:val="22"/>
        </w:rPr>
        <w:t>27</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Parity for exclusion from income for employer-provided mass transit and parking benefits.</w:t>
      </w:r>
      <w:proofErr w:type="gramEnd"/>
      <w:r w:rsidRPr="00E37C81">
        <w:rPr>
          <w:rFonts w:asciiTheme="minorHAnsi" w:hAnsiTheme="minorHAnsi"/>
          <w:b w:val="0"/>
          <w:i w:val="0"/>
          <w:sz w:val="22"/>
        </w:rPr>
        <w:t xml:space="preserve">  This provision would extend through 2013 the increase in the monthly exclusion for employer-provided transit and vanpool benefits from $125 to $240, so that it would be the same as the exclusion for employer-provided parking benefits</w:t>
      </w:r>
      <w:r w:rsidRPr="00E37C81">
        <w:rPr>
          <w:rFonts w:asciiTheme="minorHAnsi" w:hAnsiTheme="minorHAnsi" w:cs="Calibri"/>
          <w:b w:val="0"/>
          <w:i w:val="0"/>
          <w:sz w:val="22"/>
        </w:rPr>
        <w:t>.</w:t>
      </w:r>
      <w:r w:rsidRPr="00E37C81">
        <w:rPr>
          <w:rFonts w:asciiTheme="minorHAnsi" w:hAnsiTheme="minorHAnsi"/>
          <w:b w:val="0"/>
          <w:i w:val="0"/>
          <w:sz w:val="22"/>
        </w:rPr>
        <w:t xml:space="preserve"> </w:t>
      </w:r>
      <w:r w:rsidRPr="00E37C81">
        <w:rPr>
          <w:rFonts w:asciiTheme="minorHAnsi" w:hAnsiTheme="minorHAnsi"/>
          <w:b w:val="0"/>
          <w:i w:val="0"/>
          <w:iCs/>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w:t>
      </w:r>
      <w:r w:rsidR="001210E3" w:rsidRPr="00E37C81">
        <w:rPr>
          <w:rFonts w:asciiTheme="minorHAnsi" w:hAnsiTheme="minorHAnsi"/>
          <w:b w:val="0"/>
          <w:iCs/>
          <w:sz w:val="22"/>
        </w:rPr>
        <w:t>20</w:t>
      </w:r>
      <w:r w:rsidR="001D2AE9" w:rsidRPr="00E37C81">
        <w:rPr>
          <w:rFonts w:asciiTheme="minorHAnsi" w:hAnsiTheme="minorHAnsi"/>
          <w:b w:val="0"/>
          <w:iCs/>
          <w:sz w:val="22"/>
        </w:rPr>
        <w:t xml:space="preserve">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sz w:val="22"/>
        </w:rPr>
      </w:pPr>
      <w:r w:rsidRPr="00E37C81">
        <w:rPr>
          <w:rFonts w:asciiTheme="minorHAnsi" w:hAnsiTheme="minorHAnsi"/>
          <w:sz w:val="22"/>
        </w:rPr>
        <w:t>Premiums for mortgage insurance deductible as interest that is qualified residence interest.</w:t>
      </w:r>
      <w:r w:rsidRPr="00E37C81">
        <w:rPr>
          <w:rFonts w:asciiTheme="minorHAnsi" w:hAnsiTheme="minorHAnsi"/>
          <w:b w:val="0"/>
          <w:i w:val="0"/>
          <w:sz w:val="22"/>
        </w:rPr>
        <w:t xml:space="preserve">  The provision extends the ability to deduct the cost of mortgage insurance on a qualified personal residence. The deduction is phased-out ratably by 10% for each $1,000 by which the taxpayer’s AGI exceeds $100,000. Thus, the deduction is unavailable for a taxpayer with an AGI in excess of $110,000.  The bill extends this provision for two additional years, through 2013.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w:t>
      </w:r>
      <w:r w:rsidR="00C101BD" w:rsidRPr="00E37C81">
        <w:rPr>
          <w:rFonts w:asciiTheme="minorHAnsi" w:hAnsiTheme="minorHAnsi"/>
          <w:b w:val="0"/>
          <w:iCs/>
          <w:sz w:val="22"/>
        </w:rPr>
        <w:t>297</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Deduction for state and local general sales taxes.</w:t>
      </w:r>
      <w:proofErr w:type="gramEnd"/>
      <w:r w:rsidRPr="00E37C81">
        <w:rPr>
          <w:rFonts w:asciiTheme="minorHAnsi" w:hAnsiTheme="minorHAnsi"/>
          <w:b w:val="0"/>
          <w:i w:val="0"/>
          <w:sz w:val="22"/>
        </w:rPr>
        <w:t xml:space="preserve">  The bill extends for two years the election to take an itemized deduction for State and local general sales taxes in lieu of the itemized deduction permitted for State and local income taxes.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w:t>
      </w:r>
      <w:r w:rsidR="001210E3" w:rsidRPr="00E37C81">
        <w:rPr>
          <w:rFonts w:asciiTheme="minorHAnsi" w:hAnsiTheme="minorHAnsi"/>
          <w:b w:val="0"/>
          <w:iCs/>
          <w:sz w:val="22"/>
        </w:rPr>
        <w:t>5.5</w:t>
      </w:r>
      <w:r w:rsidR="00C101BD" w:rsidRPr="00E37C81">
        <w:rPr>
          <w:rFonts w:asciiTheme="minorHAnsi" w:hAnsiTheme="minorHAnsi"/>
          <w:b w:val="0"/>
          <w:iCs/>
          <w:sz w:val="22"/>
        </w:rPr>
        <w:t>38</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sz w:val="22"/>
        </w:rPr>
      </w:pPr>
      <w:r w:rsidRPr="00E37C81">
        <w:rPr>
          <w:rFonts w:asciiTheme="minorHAnsi" w:hAnsiTheme="minorHAnsi"/>
          <w:sz w:val="22"/>
        </w:rPr>
        <w:t>Special rules for contributions of capital gain real property made for conservation purposes.</w:t>
      </w:r>
      <w:r w:rsidRPr="00E37C81">
        <w:rPr>
          <w:rFonts w:asciiTheme="minorHAnsi" w:hAnsiTheme="minorHAnsi"/>
          <w:b w:val="0"/>
          <w:i w:val="0"/>
          <w:sz w:val="22"/>
        </w:rPr>
        <w:t xml:space="preserve">  The bill extends for two years the increased contribution limits and </w:t>
      </w:r>
      <w:proofErr w:type="spellStart"/>
      <w:r w:rsidRPr="00E37C81">
        <w:rPr>
          <w:rFonts w:asciiTheme="minorHAnsi" w:hAnsiTheme="minorHAnsi"/>
          <w:b w:val="0"/>
          <w:i w:val="0"/>
          <w:sz w:val="22"/>
        </w:rPr>
        <w:t>carryforward</w:t>
      </w:r>
      <w:proofErr w:type="spellEnd"/>
      <w:r w:rsidRPr="00E37C81">
        <w:rPr>
          <w:rFonts w:asciiTheme="minorHAnsi" w:hAnsiTheme="minorHAnsi"/>
          <w:b w:val="0"/>
          <w:i w:val="0"/>
          <w:sz w:val="22"/>
        </w:rPr>
        <w:t xml:space="preserve"> period for contributions of appreciated real property (including partial interests in real property) for conservation purposes.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$254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r w:rsidRPr="00E37C81">
        <w:rPr>
          <w:rFonts w:asciiTheme="minorHAnsi" w:hAnsiTheme="minorHAnsi"/>
          <w:sz w:val="22"/>
        </w:rPr>
        <w:t>Above-the-line deduction for qualified tuition related expenses.</w:t>
      </w:r>
      <w:r w:rsidRPr="00E37C81">
        <w:rPr>
          <w:rFonts w:asciiTheme="minorHAnsi" w:hAnsiTheme="minorHAnsi"/>
          <w:b w:val="0"/>
          <w:i w:val="0"/>
          <w:sz w:val="22"/>
        </w:rPr>
        <w:t xml:space="preserve">  The Economic Growth and Tax Relief Reconciliation Act (EGTRRA) created an above-the-line tax deduction for qualified higher education expenses.  The maximum deduction was $4,000 for taxpayers with AGI of $65,000 or less ($130,000 for joint returns) or $2,000 for taxpayers with AGI of $80,000 or less ($160,000 for joint returns).  The proposal extends the deduction to the end of 2013.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w:t>
      </w:r>
      <w:r w:rsidR="001210E3" w:rsidRPr="00E37C81">
        <w:rPr>
          <w:rFonts w:asciiTheme="minorHAnsi" w:hAnsiTheme="minorHAnsi"/>
          <w:b w:val="0"/>
          <w:iCs/>
          <w:sz w:val="22"/>
        </w:rPr>
        <w:t>1.7</w:t>
      </w:r>
      <w:r w:rsidR="00C101BD" w:rsidRPr="00E37C81">
        <w:rPr>
          <w:rFonts w:asciiTheme="minorHAnsi" w:hAnsiTheme="minorHAnsi"/>
          <w:b w:val="0"/>
          <w:iCs/>
          <w:sz w:val="22"/>
        </w:rPr>
        <w:t>06</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sz w:val="22"/>
        </w:rPr>
      </w:pPr>
      <w:r w:rsidRPr="00E37C81">
        <w:rPr>
          <w:rFonts w:asciiTheme="minorHAnsi" w:hAnsiTheme="minorHAnsi"/>
          <w:sz w:val="22"/>
        </w:rPr>
        <w:t>Tax-free distributions from individual retirement plan for charitable purposes.</w:t>
      </w:r>
      <w:r w:rsidRPr="00E37C81">
        <w:rPr>
          <w:rFonts w:asciiTheme="minorHAnsi" w:hAnsiTheme="minorHAnsi"/>
          <w:b w:val="0"/>
          <w:i w:val="0"/>
          <w:sz w:val="22"/>
        </w:rPr>
        <w:t xml:space="preserve">  The bill extends for two years the provision that permits tax-free distributions to charity from an Individual Retirement Arrangement (IRA) held by someone age 70½ or older of up to $100,000 per taxpayer, per taxable year.</w:t>
      </w:r>
      <w:r w:rsidR="00004116" w:rsidRPr="00E37C81">
        <w:rPr>
          <w:rFonts w:asciiTheme="minorHAnsi" w:hAnsiTheme="minorHAnsi"/>
          <w:b w:val="0"/>
          <w:i w:val="0"/>
          <w:sz w:val="22"/>
        </w:rPr>
        <w:t xml:space="preserve">  The provision contains a transition rule under which an individual can make a rollover during January of 2013 and have it count as a 2012 rollover. Also, individuals who took a distribution in December of 2012 will be able to contribute that amount to a charity and count as an eligible charitable rollover to the extent it otherwise meets the requirements for an eligible charitable rollover. </w:t>
      </w:r>
      <w:r w:rsidRPr="00E37C81">
        <w:rPr>
          <w:rFonts w:asciiTheme="minorHAnsi" w:hAnsiTheme="minorHAnsi"/>
          <w:b w:val="0"/>
          <w:i w:val="0"/>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w:t>
      </w:r>
      <w:r w:rsidR="00C101BD" w:rsidRPr="00E37C81">
        <w:rPr>
          <w:rFonts w:asciiTheme="minorHAnsi" w:hAnsiTheme="minorHAnsi"/>
          <w:b w:val="0"/>
          <w:iCs/>
          <w:sz w:val="22"/>
        </w:rPr>
        <w:t>280</w:t>
      </w:r>
      <w:r w:rsidR="001D2AE9" w:rsidRPr="00E37C81">
        <w:rPr>
          <w:rFonts w:asciiTheme="minorHAnsi" w:hAnsiTheme="minorHAnsi"/>
          <w:b w:val="0"/>
          <w:iCs/>
          <w:sz w:val="22"/>
        </w:rPr>
        <w:t xml:space="preserve"> billion over ten years</w:t>
      </w:r>
      <w:r w:rsidR="00FC121F" w:rsidRPr="00E37C81">
        <w:rPr>
          <w:rFonts w:asciiTheme="minorHAnsi" w:hAnsiTheme="minorHAnsi"/>
          <w:b w:val="0"/>
          <w:iCs/>
          <w:sz w:val="22"/>
        </w:rPr>
        <w:t>.</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cs="Calibri"/>
          <w:b w:val="0"/>
          <w:i w:val="0"/>
          <w:sz w:val="22"/>
        </w:rPr>
      </w:pPr>
      <w:proofErr w:type="gramStart"/>
      <w:r w:rsidRPr="00E37C81">
        <w:rPr>
          <w:rFonts w:asciiTheme="minorHAnsi" w:hAnsiTheme="minorHAnsi"/>
          <w:sz w:val="22"/>
        </w:rPr>
        <w:t>Disclosure of prisoner return</w:t>
      </w:r>
      <w:proofErr w:type="gramEnd"/>
      <w:r w:rsidRPr="00E37C81">
        <w:rPr>
          <w:rFonts w:asciiTheme="minorHAnsi" w:hAnsiTheme="minorHAnsi"/>
          <w:sz w:val="22"/>
        </w:rPr>
        <w:t xml:space="preserve"> information to certain prison officials.</w:t>
      </w:r>
      <w:r w:rsidRPr="00E37C81">
        <w:rPr>
          <w:rFonts w:asciiTheme="minorHAnsi" w:hAnsiTheme="minorHAnsi"/>
          <w:b w:val="0"/>
          <w:i w:val="0"/>
          <w:sz w:val="22"/>
        </w:rPr>
        <w:t xml:space="preserve">  The IRS is authorized to disclose certain limited return information about tax violations identified by the IRS, so that prison officials could punish and deter the prisoner’s conduct through administrative sanctions.  The provision expired on December 31, 2011.  The proposal would make the provision permanent.</w:t>
      </w:r>
      <w:r w:rsidRPr="00E37C81">
        <w:rPr>
          <w:rFonts w:asciiTheme="minorHAnsi" w:hAnsiTheme="minorHAnsi" w:cs="Calibri"/>
          <w:b w:val="0"/>
          <w:i w:val="0"/>
          <w:sz w:val="22"/>
        </w:rPr>
        <w:t xml:space="preserve"> It would also modify and expand the provision to permit disclosure of the actual tax return as well as tax return information, allow disclosure to prison officials directly, expand disclosure to include private contractors administering prisons, and provide disclosure to representatives of the prisoners.  The proposal would make the provision permanent.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raise $12 million over ten years.</w:t>
      </w:r>
    </w:p>
    <w:p w:rsidR="006220A8" w:rsidRDefault="006220A8" w:rsidP="006220A8">
      <w:pPr>
        <w:pStyle w:val="Heading1"/>
        <w:tabs>
          <w:tab w:val="left" w:pos="360"/>
        </w:tabs>
        <w:spacing w:before="0"/>
        <w:rPr>
          <w:rFonts w:asciiTheme="minorHAnsi" w:hAnsiTheme="minorHAnsi" w:cs="Calibri"/>
          <w:sz w:val="22"/>
          <w:szCs w:val="22"/>
        </w:rPr>
      </w:pPr>
    </w:p>
    <w:p w:rsidR="0090526B" w:rsidRDefault="0090526B" w:rsidP="00CE04A9">
      <w:pPr>
        <w:pStyle w:val="Heading1"/>
        <w:spacing w:before="0"/>
        <w:rPr>
          <w:i/>
          <w:color w:val="auto"/>
          <w:sz w:val="24"/>
          <w:szCs w:val="24"/>
        </w:rPr>
      </w:pPr>
    </w:p>
    <w:p w:rsidR="0090526B" w:rsidRDefault="0090526B" w:rsidP="00CE04A9">
      <w:pPr>
        <w:pStyle w:val="Heading1"/>
        <w:spacing w:before="0"/>
        <w:rPr>
          <w:i/>
          <w:color w:val="auto"/>
          <w:sz w:val="24"/>
          <w:szCs w:val="24"/>
        </w:rPr>
      </w:pPr>
    </w:p>
    <w:p w:rsidR="00076888" w:rsidRDefault="00076888">
      <w:pPr>
        <w:rPr>
          <w:rFonts w:asciiTheme="majorHAnsi" w:eastAsiaTheme="majorEastAsia" w:hAnsiTheme="majorHAnsi" w:cstheme="majorBidi"/>
          <w:b/>
          <w:bCs/>
          <w:i/>
          <w:szCs w:val="24"/>
        </w:rPr>
      </w:pPr>
      <w:r>
        <w:rPr>
          <w:i/>
          <w:szCs w:val="24"/>
        </w:rPr>
        <w:br w:type="page"/>
      </w:r>
    </w:p>
    <w:p w:rsidR="006220A8" w:rsidRPr="00E37C81" w:rsidRDefault="00CE04A9" w:rsidP="00CE04A9">
      <w:pPr>
        <w:pStyle w:val="Heading1"/>
        <w:spacing w:before="0"/>
        <w:rPr>
          <w:szCs w:val="24"/>
        </w:rPr>
      </w:pPr>
      <w:r>
        <w:rPr>
          <w:i/>
          <w:color w:val="auto"/>
          <w:sz w:val="24"/>
          <w:szCs w:val="24"/>
        </w:rPr>
        <w:t xml:space="preserve">Title </w:t>
      </w:r>
      <w:r w:rsidR="006220A8" w:rsidRPr="00E37C81">
        <w:rPr>
          <w:i/>
          <w:color w:val="auto"/>
          <w:sz w:val="24"/>
          <w:szCs w:val="24"/>
        </w:rPr>
        <w:t>I</w:t>
      </w:r>
      <w:r w:rsidR="006220A8">
        <w:rPr>
          <w:i/>
          <w:color w:val="auto"/>
          <w:sz w:val="24"/>
          <w:szCs w:val="24"/>
        </w:rPr>
        <w:t>II</w:t>
      </w:r>
      <w:r w:rsidR="0090526B">
        <w:rPr>
          <w:i/>
          <w:color w:val="auto"/>
          <w:sz w:val="24"/>
          <w:szCs w:val="24"/>
        </w:rPr>
        <w:t>.</w:t>
      </w:r>
      <w:r>
        <w:rPr>
          <w:i/>
          <w:color w:val="auto"/>
          <w:sz w:val="24"/>
          <w:szCs w:val="24"/>
        </w:rPr>
        <w:t xml:space="preserve"> </w:t>
      </w:r>
      <w:r w:rsidR="006220A8">
        <w:rPr>
          <w:i/>
          <w:color w:val="auto"/>
          <w:sz w:val="24"/>
          <w:szCs w:val="24"/>
        </w:rPr>
        <w:t xml:space="preserve">Business </w:t>
      </w:r>
      <w:r w:rsidR="006220A8" w:rsidRPr="00E37C81">
        <w:rPr>
          <w:i/>
          <w:color w:val="auto"/>
          <w:sz w:val="24"/>
          <w:szCs w:val="24"/>
        </w:rPr>
        <w:t>Tax Extenders</w:t>
      </w:r>
    </w:p>
    <w:p w:rsidR="001D2AE9" w:rsidRPr="00E37C81" w:rsidRDefault="001D2AE9" w:rsidP="00683E62">
      <w:pPr>
        <w:pStyle w:val="NoSpacing"/>
        <w:rPr>
          <w:rFonts w:asciiTheme="minorHAnsi" w:hAnsiTheme="minorHAnsi" w:cstheme="majorBidi"/>
          <w:b/>
          <w:sz w:val="22"/>
          <w:szCs w:val="22"/>
          <w:u w:val="single"/>
        </w:rPr>
      </w:pPr>
    </w:p>
    <w:p w:rsidR="00FC121F" w:rsidRPr="00E37C81" w:rsidRDefault="00622C04" w:rsidP="006220A8">
      <w:pPr>
        <w:pStyle w:val="Heading3"/>
        <w:spacing w:before="0"/>
        <w:ind w:left="180"/>
        <w:rPr>
          <w:rFonts w:asciiTheme="minorHAnsi" w:hAnsiTheme="minorHAnsi"/>
          <w:b w:val="0"/>
          <w:i w:val="0"/>
          <w:sz w:val="22"/>
        </w:rPr>
      </w:pPr>
      <w:proofErr w:type="gramStart"/>
      <w:r w:rsidRPr="00E37C81">
        <w:rPr>
          <w:rFonts w:asciiTheme="minorHAnsi" w:hAnsiTheme="minorHAnsi"/>
          <w:sz w:val="22"/>
        </w:rPr>
        <w:t>Tax credit for research and experimentation expenses.</w:t>
      </w:r>
      <w:proofErr w:type="gramEnd"/>
      <w:r w:rsidRPr="00E37C81">
        <w:rPr>
          <w:rFonts w:asciiTheme="minorHAnsi" w:hAnsiTheme="minorHAnsi"/>
          <w:b w:val="0"/>
          <w:i w:val="0"/>
          <w:sz w:val="22"/>
        </w:rPr>
        <w:t xml:space="preserve">  The bill extends for two years, through 2013, the research tax credit equal to 20 percent of the amount by which a taxpayer’s qualified research expenses for a taxable year exceed its base amount for that year and provides an alternative simplified credit of 14 percent.  The bill also modifies rules for taxpayers under common control and rules for computing the credit when a portion of a trade or business changes hands.  </w:t>
      </w:r>
    </w:p>
    <w:p w:rsidR="00622C04"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622C04"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622C04" w:rsidRPr="00E37C81">
        <w:rPr>
          <w:rFonts w:asciiTheme="minorHAnsi" w:hAnsiTheme="minorHAnsi"/>
          <w:b w:val="0"/>
          <w:iCs/>
          <w:sz w:val="22"/>
        </w:rPr>
        <w:t>is estimated to cost $14.3</w:t>
      </w:r>
      <w:r w:rsidR="00C101BD" w:rsidRPr="00E37C81">
        <w:rPr>
          <w:rFonts w:asciiTheme="minorHAnsi" w:hAnsiTheme="minorHAnsi"/>
          <w:b w:val="0"/>
          <w:iCs/>
          <w:sz w:val="22"/>
        </w:rPr>
        <w:t>24</w:t>
      </w:r>
      <w:r w:rsidR="00622C04"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3F32EF" w:rsidP="00CE7B84">
      <w:pPr>
        <w:pStyle w:val="Heading3"/>
        <w:spacing w:before="0"/>
        <w:ind w:left="180"/>
        <w:rPr>
          <w:rFonts w:asciiTheme="minorHAnsi" w:hAnsiTheme="minorHAnsi"/>
          <w:b w:val="0"/>
          <w:i w:val="0"/>
          <w:sz w:val="22"/>
        </w:rPr>
      </w:pPr>
      <w:proofErr w:type="gramStart"/>
      <w:r w:rsidRPr="00E37C81">
        <w:rPr>
          <w:rFonts w:asciiTheme="minorHAnsi" w:eastAsia="Times New Roman" w:hAnsiTheme="minorHAnsi"/>
          <w:sz w:val="22"/>
        </w:rPr>
        <w:t>9% Credit Rate Freeze for the Low-Income Housing Tax Credit Program.</w:t>
      </w:r>
      <w:proofErr w:type="gramEnd"/>
      <w:r w:rsidRPr="00E37C81">
        <w:rPr>
          <w:rFonts w:asciiTheme="minorHAnsi" w:eastAsia="Times New Roman" w:hAnsiTheme="minorHAnsi"/>
          <w:b w:val="0"/>
          <w:i w:val="0"/>
          <w:sz w:val="22"/>
        </w:rPr>
        <w:t xml:space="preserve">  </w:t>
      </w:r>
      <w:r w:rsidRPr="00E37C81">
        <w:rPr>
          <w:rFonts w:asciiTheme="minorHAnsi" w:hAnsiTheme="minorHAnsi"/>
          <w:b w:val="0"/>
          <w:i w:val="0"/>
          <w:sz w:val="22"/>
        </w:rPr>
        <w:t xml:space="preserve">The low-income housing tax credit program provides a tax credit over a period of ten years after the housing facility is placed-in-service.  The credit provided each year is determined by present-value formula based on the federal cost of borrowing.  Over the past few years, as the federal cost of borrowing has declined, so has the amount of tax credits that can be used to build a LIHTC project.  To deal with this, in 2008, Congress adjusted the formula and set a minimum credit amount of 9%, which is based on the original credit rate when the program was created.  The provision is effective for facilities placed-in-service before December 31, 2013.  This proposal would extend the expiration date by changing the deadline to projects that have received an allocation before January 1, 2014.  </w:t>
      </w:r>
    </w:p>
    <w:p w:rsidR="003F32EF" w:rsidRPr="00E37C81" w:rsidRDefault="003F32EF" w:rsidP="0047641D">
      <w:pPr>
        <w:pStyle w:val="Heading3"/>
        <w:spacing w:before="40"/>
        <w:ind w:left="187"/>
        <w:rPr>
          <w:rFonts w:asciiTheme="minorHAnsi" w:hAnsiTheme="minorHAnsi"/>
          <w:b w:val="0"/>
          <w:iCs/>
          <w:sz w:val="22"/>
        </w:rPr>
      </w:pPr>
      <w:r w:rsidRPr="00E37C81">
        <w:rPr>
          <w:rFonts w:asciiTheme="minorHAnsi" w:hAnsiTheme="minorHAnsi"/>
          <w:b w:val="0"/>
          <w:iCs/>
          <w:sz w:val="22"/>
        </w:rPr>
        <w:t xml:space="preserve">This provision is estimated to cost $8 million over ten years.    </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3F32EF" w:rsidP="00CE7B84">
      <w:pPr>
        <w:pStyle w:val="Heading3"/>
        <w:spacing w:before="0"/>
        <w:ind w:left="180"/>
        <w:rPr>
          <w:rFonts w:asciiTheme="minorHAnsi" w:hAnsiTheme="minorHAnsi"/>
          <w:b w:val="0"/>
          <w:i w:val="0"/>
          <w:iCs/>
          <w:sz w:val="22"/>
        </w:rPr>
      </w:pPr>
      <w:r w:rsidRPr="00E37C81">
        <w:rPr>
          <w:rFonts w:asciiTheme="minorHAnsi" w:hAnsiTheme="minorHAnsi"/>
          <w:sz w:val="22"/>
        </w:rPr>
        <w:t>Treatment of military basic housing allowances under low-income housing credit.</w:t>
      </w:r>
      <w:r w:rsidRPr="00E37C81">
        <w:rPr>
          <w:rFonts w:asciiTheme="minorHAnsi" w:hAnsiTheme="minorHAnsi"/>
          <w:b w:val="0"/>
          <w:i w:val="0"/>
          <w:sz w:val="22"/>
        </w:rPr>
        <w:t xml:space="preserve">  </w:t>
      </w:r>
      <w:r w:rsidRPr="00E37C81">
        <w:rPr>
          <w:rFonts w:asciiTheme="minorHAnsi" w:hAnsiTheme="minorHAnsi"/>
          <w:b w:val="0"/>
          <w:i w:val="0"/>
          <w:iCs/>
          <w:sz w:val="22"/>
        </w:rPr>
        <w:t xml:space="preserve">The bill extends a provision whereby a member of the military’s basic housing allowance is not considered income for purposes of calculating whether the individual qualifies as a low-income tenant for the low income housing tax credit program. The provision expired at the end of 2011. The current proposal would continue this treatment for two additional years.  </w:t>
      </w:r>
    </w:p>
    <w:p w:rsidR="003F32EF"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3F32EF"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3F32EF" w:rsidRPr="00E37C81">
        <w:rPr>
          <w:rFonts w:asciiTheme="minorHAnsi" w:hAnsiTheme="minorHAnsi"/>
          <w:b w:val="0"/>
          <w:iCs/>
          <w:sz w:val="22"/>
        </w:rPr>
        <w:t>is estimated to cost $37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3F32EF"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Indian employment tax credit.</w:t>
      </w:r>
      <w:proofErr w:type="gramEnd"/>
      <w:r w:rsidRPr="00E37C81">
        <w:rPr>
          <w:rFonts w:asciiTheme="minorHAnsi" w:hAnsiTheme="minorHAnsi"/>
          <w:b w:val="0"/>
          <w:i w:val="0"/>
          <w:sz w:val="22"/>
        </w:rPr>
        <w:t xml:space="preserve">  The bill extends for two years, through 2013, the business tax credit for employers of qualified employees that work and live on or near an Indian reservation. The amount of the credit is 20 percent of the excess of wages and health insurance costs paid to qualified employees (up to $20,000 per employee) in the current year over the amount paid in 1993. </w:t>
      </w:r>
      <w:r w:rsidRPr="00E37C81">
        <w:rPr>
          <w:rFonts w:asciiTheme="minorHAnsi" w:hAnsiTheme="minorHAnsi"/>
          <w:b w:val="0"/>
          <w:i w:val="0"/>
          <w:iCs/>
          <w:sz w:val="22"/>
        </w:rPr>
        <w:t xml:space="preserve"> </w:t>
      </w:r>
    </w:p>
    <w:p w:rsidR="003F32EF"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3F32EF"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3F32EF" w:rsidRPr="00E37C81">
        <w:rPr>
          <w:rFonts w:asciiTheme="minorHAnsi" w:hAnsiTheme="minorHAnsi"/>
          <w:b w:val="0"/>
          <w:iCs/>
          <w:sz w:val="22"/>
        </w:rPr>
        <w:t>is estimated to cost $119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3F32EF"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New Markets Tax Credit.</w:t>
      </w:r>
      <w:proofErr w:type="gramEnd"/>
      <w:r w:rsidRPr="00E37C81">
        <w:rPr>
          <w:rFonts w:asciiTheme="minorHAnsi" w:hAnsiTheme="minorHAnsi"/>
          <w:b w:val="0"/>
          <w:i w:val="0"/>
          <w:sz w:val="22"/>
        </w:rPr>
        <w:t xml:space="preserve">  Through the New Markets Tax Credit (NMTC) program, the federal government is able to leverage federal tax credits to encourage significant private investment in businesses in low-income communities. The program provides a 39 percent tax credit spread over 7 years.  The bill extends for two years the new markets tax credit, permitting a maximum annual amount of qualified equity investments of $3.5 billion each year. </w:t>
      </w:r>
      <w:r w:rsidRPr="00E37C81">
        <w:rPr>
          <w:rFonts w:asciiTheme="minorHAnsi" w:hAnsiTheme="minorHAnsi"/>
          <w:b w:val="0"/>
          <w:i w:val="0"/>
          <w:iCs/>
          <w:sz w:val="22"/>
        </w:rPr>
        <w:t xml:space="preserve"> </w:t>
      </w:r>
    </w:p>
    <w:p w:rsidR="003F32EF"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3F32EF"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3F32EF" w:rsidRPr="00E37C81">
        <w:rPr>
          <w:rFonts w:asciiTheme="minorHAnsi" w:hAnsiTheme="minorHAnsi"/>
          <w:b w:val="0"/>
          <w:iCs/>
          <w:sz w:val="22"/>
        </w:rPr>
        <w:t>is estimated to cost $1.</w:t>
      </w:r>
      <w:r w:rsidR="00C101BD" w:rsidRPr="00E37C81">
        <w:rPr>
          <w:rFonts w:asciiTheme="minorHAnsi" w:hAnsiTheme="minorHAnsi"/>
          <w:b w:val="0"/>
          <w:iCs/>
          <w:sz w:val="22"/>
        </w:rPr>
        <w:t>794</w:t>
      </w:r>
      <w:r w:rsidR="003F32EF"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3F32EF"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Credit for certain expenditures for maintaining railroad tracks.</w:t>
      </w:r>
      <w:proofErr w:type="gramEnd"/>
      <w:r w:rsidRPr="00E37C81">
        <w:rPr>
          <w:rFonts w:asciiTheme="minorHAnsi" w:hAnsiTheme="minorHAnsi"/>
          <w:b w:val="0"/>
          <w:i w:val="0"/>
          <w:sz w:val="22"/>
        </w:rPr>
        <w:t xml:space="preserve">  The bill extends for two years, through 2013, the railroad maintenance credit that provides Class II and Class III railroads (generally, short-line and regional railroads) with a tax credit equal to 50 percent of gross expenditures for maintaining railroad tracks that they own or lease.  This credit is allowable against the AMT. </w:t>
      </w:r>
      <w:r w:rsidRPr="00E37C81">
        <w:rPr>
          <w:rFonts w:asciiTheme="minorHAnsi" w:hAnsiTheme="minorHAnsi"/>
          <w:b w:val="0"/>
          <w:i w:val="0"/>
          <w:iCs/>
          <w:sz w:val="22"/>
        </w:rPr>
        <w:t xml:space="preserve"> </w:t>
      </w:r>
    </w:p>
    <w:p w:rsidR="003F32EF"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3F32EF"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3F32EF" w:rsidRPr="00E37C81">
        <w:rPr>
          <w:rFonts w:asciiTheme="minorHAnsi" w:hAnsiTheme="minorHAnsi"/>
          <w:b w:val="0"/>
          <w:iCs/>
          <w:sz w:val="22"/>
        </w:rPr>
        <w:t>is estimated to cost $331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3F32EF" w:rsidP="00CE7B84">
      <w:pPr>
        <w:pStyle w:val="Heading3"/>
        <w:spacing w:before="0"/>
        <w:ind w:left="180"/>
        <w:rPr>
          <w:rFonts w:asciiTheme="minorHAnsi" w:hAnsiTheme="minorHAnsi"/>
          <w:b w:val="0"/>
          <w:i w:val="0"/>
          <w:sz w:val="22"/>
        </w:rPr>
      </w:pPr>
      <w:r w:rsidRPr="00E37C81">
        <w:rPr>
          <w:rFonts w:asciiTheme="minorHAnsi" w:hAnsiTheme="minorHAnsi"/>
          <w:sz w:val="22"/>
        </w:rPr>
        <w:t>Mine rescue team training credit.</w:t>
      </w:r>
      <w:r w:rsidRPr="00E37C81">
        <w:rPr>
          <w:rFonts w:asciiTheme="minorHAnsi" w:hAnsiTheme="minorHAnsi"/>
          <w:b w:val="0"/>
          <w:i w:val="0"/>
          <w:sz w:val="22"/>
        </w:rPr>
        <w:t xml:space="preserve">  The bill extends for two years, through 2013, a credit of up to $10,000 for the training of mine rescue team members.  </w:t>
      </w:r>
    </w:p>
    <w:p w:rsidR="003F32EF"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3F32EF"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3F32EF" w:rsidRPr="00E37C81">
        <w:rPr>
          <w:rFonts w:asciiTheme="minorHAnsi" w:hAnsiTheme="minorHAnsi"/>
          <w:b w:val="0"/>
          <w:iCs/>
          <w:sz w:val="22"/>
        </w:rPr>
        <w:t>is estimated to cost $5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Employer wage credit for activated military reservists.</w:t>
      </w:r>
      <w:proofErr w:type="gramEnd"/>
      <w:r w:rsidRPr="00E37C81">
        <w:rPr>
          <w:rFonts w:asciiTheme="minorHAnsi" w:hAnsiTheme="minorHAnsi"/>
          <w:b w:val="0"/>
          <w:i w:val="0"/>
          <w:sz w:val="22"/>
        </w:rPr>
        <w:t xml:space="preserve">  The bill extends for two years, through 2013, the provision that provides eligible small business employers with a credit against the employer’s income tax liability for a taxable year in an amount equal to 20 percent of the sum of differential wage payments to activated military reservists.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$7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r w:rsidRPr="00E37C81">
        <w:rPr>
          <w:rFonts w:asciiTheme="minorHAnsi" w:hAnsiTheme="minorHAnsi"/>
          <w:sz w:val="22"/>
        </w:rPr>
        <w:t>Work opportunity tax credit.</w:t>
      </w:r>
      <w:r w:rsidRPr="00E37C81">
        <w:rPr>
          <w:rFonts w:asciiTheme="minorHAnsi" w:hAnsiTheme="minorHAnsi"/>
          <w:b w:val="0"/>
          <w:i w:val="0"/>
          <w:sz w:val="22"/>
        </w:rPr>
        <w:t xml:space="preserve">  This bill extends for two years, through 2013, the provision that allows businesses to claim a work opportunity tax credit equal to 40 percent of the first $6,000 of wages paid to new hires of one of eight targeted groups</w:t>
      </w:r>
      <w:r w:rsidRPr="00E37C81">
        <w:rPr>
          <w:rFonts w:asciiTheme="minorHAnsi" w:hAnsiTheme="minorHAnsi"/>
          <w:b w:val="0"/>
          <w:i w:val="0"/>
          <w:iCs/>
          <w:sz w:val="22"/>
        </w:rPr>
        <w:t xml:space="preserve">.   </w:t>
      </w:r>
      <w:r w:rsidRPr="00E37C81">
        <w:rPr>
          <w:rFonts w:asciiTheme="minorHAnsi" w:hAnsiTheme="minorHAnsi"/>
          <w:b w:val="0"/>
          <w:i w:val="0"/>
          <w:sz w:val="22"/>
        </w:rPr>
        <w:t>These groups include members of families receiving benefits under the Temporary Assistance to Needy Families (TANF) program, qualified ex-felons, designated community residents, vocational rehabilitation referrals, qualified summer youth employees, qualified food and nutrition recipients, qualified SSI recipients, and long-term family assistance recipients.</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w:t>
      </w:r>
      <w:r w:rsidR="00C101BD" w:rsidRPr="00E37C81">
        <w:rPr>
          <w:rFonts w:asciiTheme="minorHAnsi" w:hAnsiTheme="minorHAnsi"/>
          <w:b w:val="0"/>
          <w:iCs/>
          <w:sz w:val="22"/>
        </w:rPr>
        <w:t>773</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1D2AE9" w:rsidRPr="00E37C81" w:rsidRDefault="001D2AE9" w:rsidP="00CE7B84">
      <w:pPr>
        <w:pStyle w:val="Heading3"/>
        <w:spacing w:before="0"/>
        <w:ind w:left="180"/>
        <w:rPr>
          <w:rFonts w:asciiTheme="minorHAnsi" w:hAnsiTheme="minorHAnsi" w:cstheme="minorBidi"/>
          <w:b w:val="0"/>
          <w:i w:val="0"/>
          <w:sz w:val="22"/>
        </w:rPr>
      </w:pPr>
      <w:r w:rsidRPr="00E37C81">
        <w:rPr>
          <w:rFonts w:asciiTheme="minorHAnsi" w:hAnsiTheme="minorHAnsi"/>
          <w:sz w:val="22"/>
        </w:rPr>
        <w:t>Returning Heroes and Wounded Warriors Work Opportunity Tax Credits.</w:t>
      </w:r>
      <w:r w:rsidRPr="00E37C81">
        <w:rPr>
          <w:rFonts w:asciiTheme="minorHAnsi" w:hAnsiTheme="minorHAnsi"/>
          <w:b w:val="0"/>
          <w:i w:val="0"/>
          <w:sz w:val="22"/>
        </w:rPr>
        <w:t xml:space="preserve">  Currently businesses are allowed to claim a work opportunity tax credit (WOTC) for hiring qualified veterans in the following targeted groups and up to the following credit amounts: </w:t>
      </w:r>
    </w:p>
    <w:p w:rsidR="007718AC" w:rsidRPr="00E37C81" w:rsidRDefault="007718AC" w:rsidP="0047641D">
      <w:pPr>
        <w:pStyle w:val="ListParagraph"/>
        <w:spacing w:after="0" w:line="240" w:lineRule="auto"/>
        <w:rPr>
          <w:rFonts w:asciiTheme="minorHAnsi" w:hAnsiTheme="minorHAnsi"/>
          <w:sz w:val="12"/>
          <w:szCs w:val="12"/>
        </w:rPr>
      </w:pPr>
    </w:p>
    <w:p w:rsidR="001D2AE9" w:rsidRPr="00E37C81" w:rsidRDefault="001D2AE9" w:rsidP="00683E62">
      <w:pPr>
        <w:pStyle w:val="ListParagraph"/>
        <w:numPr>
          <w:ilvl w:val="0"/>
          <w:numId w:val="19"/>
        </w:numPr>
        <w:spacing w:after="0" w:line="240" w:lineRule="auto"/>
        <w:ind w:left="720"/>
        <w:rPr>
          <w:rFonts w:asciiTheme="minorHAnsi" w:hAnsiTheme="minorHAnsi"/>
          <w:sz w:val="22"/>
        </w:rPr>
      </w:pPr>
      <w:r w:rsidRPr="00E37C81">
        <w:rPr>
          <w:rFonts w:asciiTheme="minorHAnsi" w:hAnsiTheme="minorHAnsi"/>
          <w:sz w:val="22"/>
        </w:rPr>
        <w:t>Veterans in a family receiving supplemental nutrition assistance:  $2,400</w:t>
      </w:r>
    </w:p>
    <w:p w:rsidR="001D2AE9" w:rsidRPr="00E37C81" w:rsidRDefault="001D2AE9" w:rsidP="00683E62">
      <w:pPr>
        <w:pStyle w:val="ListParagraph"/>
        <w:numPr>
          <w:ilvl w:val="0"/>
          <w:numId w:val="19"/>
        </w:numPr>
        <w:spacing w:after="0" w:line="240" w:lineRule="auto"/>
        <w:ind w:left="720"/>
        <w:rPr>
          <w:rFonts w:asciiTheme="minorHAnsi" w:hAnsiTheme="minorHAnsi"/>
          <w:sz w:val="22"/>
        </w:rPr>
      </w:pPr>
      <w:r w:rsidRPr="00E37C81">
        <w:rPr>
          <w:rFonts w:asciiTheme="minorHAnsi" w:hAnsiTheme="minorHAnsi"/>
          <w:sz w:val="22"/>
        </w:rPr>
        <w:t>Short-term unemployed veterans:  $2,400</w:t>
      </w:r>
    </w:p>
    <w:p w:rsidR="001D2AE9" w:rsidRPr="00E37C81" w:rsidRDefault="001D2AE9" w:rsidP="00683E62">
      <w:pPr>
        <w:pStyle w:val="ListParagraph"/>
        <w:numPr>
          <w:ilvl w:val="0"/>
          <w:numId w:val="19"/>
        </w:numPr>
        <w:spacing w:after="0" w:line="240" w:lineRule="auto"/>
        <w:ind w:left="720"/>
        <w:rPr>
          <w:rFonts w:asciiTheme="minorHAnsi" w:hAnsiTheme="minorHAnsi"/>
          <w:sz w:val="22"/>
        </w:rPr>
      </w:pPr>
      <w:r w:rsidRPr="00E37C81">
        <w:rPr>
          <w:rFonts w:asciiTheme="minorHAnsi" w:hAnsiTheme="minorHAnsi"/>
          <w:sz w:val="22"/>
        </w:rPr>
        <w:t>Service-related disabled veterans discharged from active duty within a year:  $4,800</w:t>
      </w:r>
    </w:p>
    <w:p w:rsidR="007718AC" w:rsidRPr="00E37C81" w:rsidRDefault="001D2AE9" w:rsidP="00683E62">
      <w:pPr>
        <w:pStyle w:val="ListParagraph"/>
        <w:numPr>
          <w:ilvl w:val="0"/>
          <w:numId w:val="19"/>
        </w:numPr>
        <w:spacing w:after="0" w:line="240" w:lineRule="auto"/>
        <w:ind w:left="720"/>
        <w:rPr>
          <w:rFonts w:asciiTheme="minorHAnsi" w:hAnsiTheme="minorHAnsi"/>
          <w:sz w:val="22"/>
        </w:rPr>
      </w:pPr>
      <w:r w:rsidRPr="00E37C81">
        <w:rPr>
          <w:rFonts w:asciiTheme="minorHAnsi" w:hAnsiTheme="minorHAnsi"/>
          <w:sz w:val="22"/>
        </w:rPr>
        <w:t>Long-term unemployed veterans:  $5,600</w:t>
      </w:r>
    </w:p>
    <w:p w:rsidR="001D2AE9" w:rsidRPr="00E37C81" w:rsidRDefault="001D2AE9" w:rsidP="00A87DB4">
      <w:pPr>
        <w:pStyle w:val="ListParagraph"/>
        <w:numPr>
          <w:ilvl w:val="0"/>
          <w:numId w:val="19"/>
        </w:numPr>
        <w:spacing w:after="0" w:line="240" w:lineRule="auto"/>
        <w:ind w:left="720"/>
        <w:rPr>
          <w:rFonts w:asciiTheme="minorHAnsi" w:hAnsiTheme="minorHAnsi"/>
          <w:sz w:val="12"/>
          <w:szCs w:val="12"/>
        </w:rPr>
      </w:pPr>
      <w:r w:rsidRPr="00E37C81">
        <w:rPr>
          <w:rFonts w:asciiTheme="minorHAnsi" w:hAnsiTheme="minorHAnsi"/>
          <w:sz w:val="22"/>
        </w:rPr>
        <w:t>Long-term unemployed service-related disabled veterans: $9,600</w:t>
      </w:r>
      <w:r w:rsidRPr="00E37C81">
        <w:rPr>
          <w:rFonts w:asciiTheme="minorHAnsi" w:hAnsiTheme="minorHAnsi"/>
          <w:sz w:val="22"/>
        </w:rPr>
        <w:br/>
      </w:r>
    </w:p>
    <w:p w:rsidR="00FC121F" w:rsidRPr="00E37C81" w:rsidRDefault="001D2AE9" w:rsidP="00A87DB4">
      <w:pPr>
        <w:spacing w:after="0" w:line="240" w:lineRule="auto"/>
        <w:ind w:left="180"/>
        <w:rPr>
          <w:rFonts w:asciiTheme="minorHAnsi" w:hAnsiTheme="minorHAnsi"/>
          <w:i/>
          <w:iCs/>
          <w:sz w:val="22"/>
        </w:rPr>
      </w:pPr>
      <w:r w:rsidRPr="00E37C81">
        <w:rPr>
          <w:rFonts w:asciiTheme="minorHAnsi" w:hAnsiTheme="minorHAnsi"/>
          <w:sz w:val="22"/>
        </w:rPr>
        <w:t xml:space="preserve">A credit against Social Security taxes is also available to tax-exempt employers. Transfers are made from general revenues to make the Social Security trust fund whole.  The provision expires on </w:t>
      </w:r>
      <w:r w:rsidRPr="00E37C81">
        <w:rPr>
          <w:rFonts w:asciiTheme="minorHAnsi" w:eastAsiaTheme="majorEastAsia" w:hAnsiTheme="minorHAnsi" w:cstheme="majorBidi"/>
          <w:bCs/>
          <w:sz w:val="22"/>
        </w:rPr>
        <w:t>December 31, 2012.  The proposal would extend these credits for an additional year, though 2013.</w:t>
      </w:r>
      <w:r w:rsidRPr="00E37C81">
        <w:rPr>
          <w:rFonts w:asciiTheme="minorHAnsi" w:hAnsiTheme="minorHAnsi"/>
          <w:sz w:val="22"/>
        </w:rPr>
        <w:t xml:space="preserve"> </w:t>
      </w:r>
      <w:r w:rsidRPr="00E37C81">
        <w:rPr>
          <w:rFonts w:asciiTheme="minorHAnsi" w:hAnsiTheme="minorHAnsi"/>
          <w:i/>
          <w:iCs/>
          <w:sz w:val="22"/>
        </w:rPr>
        <w:t xml:space="preserve"> </w:t>
      </w:r>
    </w:p>
    <w:p w:rsidR="001D2AE9" w:rsidRPr="00E37C81" w:rsidRDefault="006B1B38" w:rsidP="00A87DB4">
      <w:pPr>
        <w:pStyle w:val="Heading3"/>
        <w:spacing w:before="40"/>
        <w:ind w:left="187"/>
        <w:rPr>
          <w:rFonts w:asciiTheme="minorHAnsi" w:hAnsiTheme="minorHAnsi"/>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$125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r w:rsidRPr="00E37C81">
        <w:rPr>
          <w:rFonts w:asciiTheme="minorHAnsi" w:hAnsiTheme="minorHAnsi"/>
          <w:sz w:val="22"/>
        </w:rPr>
        <w:t>Qualified zone academy bonds (QZABs) - allocation of bond limitation.</w:t>
      </w:r>
      <w:r w:rsidRPr="00E37C81">
        <w:rPr>
          <w:rFonts w:asciiTheme="minorHAnsi" w:hAnsiTheme="minorHAnsi"/>
          <w:b w:val="0"/>
          <w:i w:val="0"/>
          <w:sz w:val="22"/>
        </w:rPr>
        <w:t xml:space="preserve">  QZABs are a form of tax credit bond which offer the holder a Federal tax credit instead of interest.  QZABs can be used to finance renovations, equipment purchases, developing course material, and training teachers and personnel at a qualified zone academy. In general, a qualified zone academy is any public school (or academic program within a public school) below college level that is located in an empowerment zone or enterprise community and is designed to cooperate with businesses to enhance the academic curriculum and increase graduation and employment rates. The provision extends the QZAB program for 2012 and 2013 providing $400 million in bond volume per year.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$235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FC121F" w:rsidRPr="00E37C81" w:rsidRDefault="001D2AE9" w:rsidP="00CE7B84">
      <w:pPr>
        <w:pStyle w:val="Heading3"/>
        <w:spacing w:before="0"/>
        <w:ind w:left="180"/>
        <w:rPr>
          <w:rFonts w:asciiTheme="minorHAnsi" w:hAnsiTheme="minorHAnsi"/>
          <w:b w:val="0"/>
          <w:i w:val="0"/>
          <w:iCs/>
          <w:sz w:val="22"/>
        </w:rPr>
      </w:pPr>
      <w:r w:rsidRPr="00E37C81">
        <w:rPr>
          <w:rFonts w:asciiTheme="minorHAnsi" w:hAnsiTheme="minorHAnsi"/>
          <w:sz w:val="22"/>
        </w:rPr>
        <w:t>15-year straight-line cost recovery for qualified leasehold improvements, qualified restaurant buildings and improvements, and qualified retail improvements.</w:t>
      </w:r>
      <w:r w:rsidRPr="00E37C81">
        <w:rPr>
          <w:rFonts w:asciiTheme="minorHAnsi" w:hAnsiTheme="minorHAnsi"/>
          <w:b w:val="0"/>
          <w:i w:val="0"/>
          <w:sz w:val="22"/>
        </w:rPr>
        <w:t xml:space="preserve">  The bill extends for two years, through 2013, the temporary 15-year cost recovery period for certain leasehold, restaurant, and retail improvements, and new restaurant buildings, which are placed in service before January 1, 2014. The extension is effective for qualified property placed in service after December 31, 2011. </w:t>
      </w:r>
      <w:r w:rsidRPr="00E37C81">
        <w:rPr>
          <w:rFonts w:asciiTheme="minorHAnsi" w:hAnsiTheme="minorHAnsi"/>
          <w:b w:val="0"/>
          <w:i w:val="0"/>
          <w:iCs/>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$3.7</w:t>
      </w:r>
      <w:r w:rsidR="00C101BD" w:rsidRPr="00E37C81">
        <w:rPr>
          <w:rFonts w:asciiTheme="minorHAnsi" w:hAnsiTheme="minorHAnsi"/>
          <w:b w:val="0"/>
          <w:iCs/>
          <w:sz w:val="22"/>
        </w:rPr>
        <w:t>17</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Seven-year recovery period for motorsports entertainment complexes.</w:t>
      </w:r>
      <w:proofErr w:type="gramEnd"/>
      <w:r w:rsidRPr="00E37C81">
        <w:rPr>
          <w:rFonts w:asciiTheme="minorHAnsi" w:hAnsiTheme="minorHAnsi"/>
          <w:b w:val="0"/>
          <w:i w:val="0"/>
          <w:sz w:val="22"/>
        </w:rPr>
        <w:t xml:space="preserve">  The bill extends for two years, through 2013, the special seven year cost recovery period for property used for land improvements and support facilities at motorsports entertainment complexes.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$78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Accelerated depreciation for business property on Indian reservation.</w:t>
      </w:r>
      <w:proofErr w:type="gramEnd"/>
      <w:r w:rsidRPr="00E37C81">
        <w:rPr>
          <w:rFonts w:asciiTheme="minorHAnsi" w:hAnsiTheme="minorHAnsi"/>
          <w:b w:val="0"/>
          <w:i w:val="0"/>
          <w:sz w:val="22"/>
        </w:rPr>
        <w:t xml:space="preserve">  The bill extends for two years, through 2013, the placed-in-service date for the special depreciation recovery period for qualified Indian reservation property. In general, qualified Indian reservation property is property used predominantly in the active conduct of a trade or business within an Indian reservation, which is not used outside the reservation on a regular basis and was not acquired from a related person.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w:t>
      </w:r>
      <w:r w:rsidR="00754AC9" w:rsidRPr="00E37C81">
        <w:rPr>
          <w:rFonts w:asciiTheme="minorHAnsi" w:hAnsiTheme="minorHAnsi"/>
          <w:b w:val="0"/>
          <w:iCs/>
          <w:sz w:val="22"/>
        </w:rPr>
        <w:t xml:space="preserve">222 </w:t>
      </w:r>
      <w:r w:rsidR="001D2AE9" w:rsidRPr="00E37C81">
        <w:rPr>
          <w:rFonts w:asciiTheme="minorHAnsi" w:hAnsiTheme="minorHAnsi"/>
          <w:b w:val="0"/>
          <w:iCs/>
          <w:sz w:val="22"/>
        </w:rPr>
        <w:t>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B771E6"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Enhanced charitable deduction for contributions of food inventory.</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the provision allowing businesses to claim an enhanced deduction for the contribution of food inventory.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$314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1D2AE9" w:rsidRPr="00E37C81" w:rsidRDefault="001D2AE9" w:rsidP="00CE7B84">
      <w:pPr>
        <w:pStyle w:val="Heading3"/>
        <w:spacing w:before="0"/>
        <w:ind w:left="180"/>
        <w:rPr>
          <w:rFonts w:asciiTheme="minorHAnsi" w:hAnsiTheme="minorHAnsi"/>
          <w:sz w:val="22"/>
        </w:rPr>
      </w:pPr>
      <w:r w:rsidRPr="00E37C81">
        <w:rPr>
          <w:rStyle w:val="Heading3Char"/>
          <w:rFonts w:asciiTheme="minorHAnsi" w:hAnsiTheme="minorHAnsi"/>
          <w:b/>
          <w:bCs/>
          <w:i/>
          <w:sz w:val="22"/>
        </w:rPr>
        <w:t>Temporarily extend increase in the maximum amount and phase-out threshold under section 179.</w:t>
      </w:r>
      <w:r w:rsidRPr="00E37C81">
        <w:rPr>
          <w:rFonts w:asciiTheme="minorHAnsi" w:hAnsiTheme="minorHAnsi"/>
          <w:sz w:val="22"/>
        </w:rPr>
        <w:t xml:space="preserve">  </w:t>
      </w:r>
    </w:p>
    <w:p w:rsidR="00754AC9" w:rsidRPr="00E37C81" w:rsidRDefault="006D75EF" w:rsidP="00683E62">
      <w:pPr>
        <w:pStyle w:val="NoSpacing"/>
        <w:ind w:left="180"/>
        <w:rPr>
          <w:rFonts w:asciiTheme="minorHAnsi" w:hAnsiTheme="minorHAnsi"/>
          <w:i/>
          <w:iCs/>
          <w:sz w:val="22"/>
          <w:szCs w:val="22"/>
        </w:rPr>
      </w:pPr>
      <w:r w:rsidRPr="00E37C81">
        <w:rPr>
          <w:rFonts w:asciiTheme="minorHAnsi" w:hAnsiTheme="minorHAnsi" w:cs="Calibri"/>
          <w:sz w:val="22"/>
          <w:szCs w:val="22"/>
        </w:rPr>
        <w:t xml:space="preserve">Under current law, a taxpayer with a sufficiently small amount of annual investment may elect to deduct the cost of certain property placed in service for the year rather than depreciate those costs over time.  The 2003 tax cuts temporarily increased the maximum dollar amount that may be deducted from $25,000 to $100,000.  The tax cuts also increased the phase-out amount from $200,000 to $400,000.  These amounts have been further modified and extended several times on a temporary basis, increasing up to a high of $500,000 and $2 million respectively for taxable years beginning in 2010 and 2011, and then to $125,000 and $500,000 respectively for taxable years beginning in 2012, before reverting to the permanent amounts of $25,000 and $200,000 respectively for taxable years beginning in 2013 and thereafter. The modified proposal would increase the maximum amount and phase-out threshold in 2012 and 2013 to the levels in effect in 2010 and 2011 ($500,000 and $2 million respectively). Within those thresholds, the proposal would also allow a taxpayer to expense up to $250,000 of the cost of qualified leasehold improvement property, qualified restaurant property, and qualified retail improvement property. This proposal expires at the end of 2013 and the amounts revert to $25,000 and $200,000, respectively.  </w:t>
      </w:r>
    </w:p>
    <w:p w:rsidR="001D2AE9" w:rsidRPr="00E37C81" w:rsidRDefault="006B1B38" w:rsidP="00A87DB4">
      <w:pPr>
        <w:pStyle w:val="Heading3"/>
        <w:spacing w:before="40"/>
        <w:ind w:left="187"/>
        <w:rPr>
          <w:rFonts w:asciiTheme="minorHAnsi" w:hAnsiTheme="minorHAnsi"/>
          <w:i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w:t>
      </w:r>
      <w:r w:rsidR="00754701" w:rsidRPr="00E37C81">
        <w:rPr>
          <w:rFonts w:asciiTheme="minorHAnsi" w:hAnsiTheme="minorHAnsi"/>
          <w:b w:val="0"/>
          <w:iCs/>
          <w:sz w:val="22"/>
        </w:rPr>
        <w:t>352</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r w:rsidRPr="00E37C81">
        <w:rPr>
          <w:rFonts w:asciiTheme="minorHAnsi" w:hAnsiTheme="minorHAnsi"/>
          <w:sz w:val="22"/>
        </w:rPr>
        <w:t xml:space="preserve">Election to expense advanced mine safety equipment.  </w:t>
      </w:r>
      <w:r w:rsidRPr="00E37C81">
        <w:rPr>
          <w:rFonts w:asciiTheme="minorHAnsi" w:hAnsiTheme="minorHAnsi"/>
          <w:b w:val="0"/>
          <w:i w:val="0"/>
          <w:sz w:val="22"/>
        </w:rPr>
        <w:t xml:space="preserve">The bill extends for two years, through 2013, the provision that allows a 50 percent immediate expensing for the following advanced underground mine safety equipment:  (1) communications technology enabling miners to remain in constant contact with individuals above ground; (2) electronic tracking devices that enable individuals above ground to locate miners in the mine at all times; (3) self-rescue emergency breathing apparatuses carried by the miners and additional oxygen supplies stored in the mine; and (4) mine atmospheric monitoring equipment to measure levels of carbon monoxide, methane, and oxygen in the mine.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have a negligible cost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Special expensing rules for certain film and television productions.</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through 2013, the provision that allows film and television producers to expense the first $15 million of production costs incurred in the United States ($20 million if the costs are incurred in economically depressed areas in the United States).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$248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Deduction allowable with respect to income attributable to domestic production activities in Puerto Rico.</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the provision extending the section 199 domestic production activities deduction to activities in Puerto Rico. </w:t>
      </w:r>
      <w:r w:rsidRPr="00E37C81">
        <w:rPr>
          <w:rFonts w:asciiTheme="minorHAnsi" w:hAnsiTheme="minorHAnsi"/>
          <w:b w:val="0"/>
          <w:i w:val="0"/>
          <w:iCs/>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$358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Modification of tax treatment of certain payments to controlling exempt organizations.</w:t>
      </w:r>
      <w:proofErr w:type="gramEnd"/>
      <w:r w:rsidRPr="00E37C81">
        <w:rPr>
          <w:rFonts w:asciiTheme="minorHAnsi" w:hAnsiTheme="minorHAnsi"/>
          <w:sz w:val="22"/>
        </w:rPr>
        <w:t xml:space="preserve">  </w:t>
      </w:r>
      <w:r w:rsidRPr="00E37C81">
        <w:rPr>
          <w:rFonts w:asciiTheme="minorHAnsi" w:hAnsiTheme="minorHAnsi"/>
          <w:b w:val="0"/>
          <w:i w:val="0"/>
          <w:sz w:val="22"/>
        </w:rPr>
        <w:t xml:space="preserve">In general, interest, rent, royalties, and annuities paid to a tax–exempt organization from a controlled entity are treated as unrelated business income of the tax-exempt organization.  The Pension Protection Act (PPA) provided that if a payment to a tax-exempt organization by a controlled entity is no more than fair market value, then the payment is excludable from the tax-exempt organization’s unrelated business income. The bill extends the provision two years to the end of 2013.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$40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r w:rsidRPr="00E37C81">
        <w:rPr>
          <w:rFonts w:asciiTheme="minorHAnsi" w:hAnsiTheme="minorHAnsi"/>
          <w:sz w:val="22"/>
        </w:rPr>
        <w:t xml:space="preserve">Treatment of certain dividends of regulated investment companies (RIC's).  </w:t>
      </w:r>
      <w:r w:rsidRPr="00E37C81">
        <w:rPr>
          <w:rFonts w:asciiTheme="minorHAnsi" w:hAnsiTheme="minorHAnsi"/>
          <w:b w:val="0"/>
          <w:i w:val="0"/>
          <w:sz w:val="22"/>
        </w:rPr>
        <w:t xml:space="preserve">The bill extends a provision allowing a RIC, under certain circumstances, to designate all or a portion of a dividend as an “interest-related dividend,” by written notice mailed to its shareholders not later than 60 days after the close of its taxable year. In addition, an interest-related dividend received by a foreign person generally is exempt from U.S. gross-basis tax under sections 871(a), 881, 1441 and 1442 of the Code. The proposal extends the treatment of interest-related dividends and short-term capital gain dividends received from a RIC to taxable years of the RIC beginning before January 1, 2014.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$151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r w:rsidRPr="00E37C81">
        <w:rPr>
          <w:rFonts w:asciiTheme="minorHAnsi" w:hAnsiTheme="minorHAnsi"/>
          <w:sz w:val="22"/>
        </w:rPr>
        <w:t xml:space="preserve">RIC qualified investment entity treatment under FIRPTA.  </w:t>
      </w:r>
      <w:r w:rsidRPr="00E37C81">
        <w:rPr>
          <w:rFonts w:asciiTheme="minorHAnsi" w:hAnsiTheme="minorHAnsi"/>
          <w:b w:val="0"/>
          <w:i w:val="0"/>
          <w:sz w:val="22"/>
        </w:rPr>
        <w:t xml:space="preserve">The bill extends the inclusion of a RIC within the definition of a “qualified investment entity” under section 897 of the Tax Code through December 31, 2013.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$60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Exceptions under subpart F for active financing income.</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U.S. parent of a foreign subsidiary engaged in a banking, financing, or similar business is eligible for deferral of tax on such subsidiary’s earnings if the subsidiary is predominantly engaged in such business and conducts substantial activity with respect to such business.  The subsidiary must pass an entity level income test to demonstrate that the income is active income and not passive income. The proposal extends the provision to the end of 2013.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$11.2</w:t>
      </w:r>
      <w:r w:rsidR="00C101BD" w:rsidRPr="00E37C81">
        <w:rPr>
          <w:rFonts w:asciiTheme="minorHAnsi" w:hAnsiTheme="minorHAnsi"/>
          <w:b w:val="0"/>
          <w:iCs/>
          <w:sz w:val="22"/>
        </w:rPr>
        <w:t>25</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r w:rsidRPr="00E37C81">
        <w:rPr>
          <w:rFonts w:asciiTheme="minorHAnsi" w:hAnsiTheme="minorHAnsi"/>
          <w:sz w:val="22"/>
        </w:rPr>
        <w:t xml:space="preserve">Look-through treatment of payments between related controlled foreign corporations under the foreign personal holding company rules.  </w:t>
      </w:r>
      <w:r w:rsidRPr="00E37C81">
        <w:rPr>
          <w:rFonts w:asciiTheme="minorHAnsi" w:hAnsiTheme="minorHAnsi"/>
          <w:b w:val="0"/>
          <w:i w:val="0"/>
          <w:sz w:val="22"/>
        </w:rPr>
        <w:t xml:space="preserve">The bill allows deferral for certain payments (interest, dividends, rents and royalties) between commonly controlled foreign corporations (CFC).  This provision allows U.S. taxpayers to deploy capital from one CFC to another without triggering U.S. tax. The proposal extends present law to the end of 2013.  The proposal is effective for tax years beginning after December 31, 2011.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$1.5</w:t>
      </w:r>
      <w:r w:rsidR="00C101BD" w:rsidRPr="00E37C81">
        <w:rPr>
          <w:rFonts w:asciiTheme="minorHAnsi" w:hAnsiTheme="minorHAnsi"/>
          <w:b w:val="0"/>
          <w:iCs/>
          <w:sz w:val="22"/>
        </w:rPr>
        <w:t>03</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Special rules for qualified small business stock.</w:t>
      </w:r>
      <w:proofErr w:type="gramEnd"/>
      <w:r w:rsidRPr="00E37C81">
        <w:rPr>
          <w:rFonts w:asciiTheme="minorHAnsi" w:hAnsiTheme="minorHAnsi"/>
          <w:sz w:val="22"/>
        </w:rPr>
        <w:t xml:space="preserve">  </w:t>
      </w:r>
      <w:r w:rsidRPr="00E37C81">
        <w:rPr>
          <w:rFonts w:asciiTheme="minorHAnsi" w:hAnsiTheme="minorHAnsi"/>
          <w:b w:val="0"/>
          <w:i w:val="0"/>
          <w:sz w:val="22"/>
        </w:rPr>
        <w:t xml:space="preserve">Generally, non-corporate taxpayers may exclude 50 percent of the gain from the sale of certain small business stock acquired at original issue and held for more than five years. For stock acquired after February 17, 2009 and on or before September 27, 2010, the exclusion is increased to 75 percent. For stock acquired after September 27, 2010 and before January 1, 2012, the exclusion is 100 percent and the AMT preference item attributable for the sale is eliminated. Qualifying small business stock is from a C corporation whose gross assets do not exceed $50 million (including the proceeds received from the issuance of the stock) and who meets a specific active business requirement. The amount of gain eligible for the exclusion is limited to the greater of ten times the taxpayer’s basis in the stock or $10 million of gain from stock in that corporation. The provision extends the 100 percent exclusion of the gain from the sale of qualifying small business stock that is acquired before January 1, 2014 and held for more than five years. The bill also clarifies that in the case of stock acquired after February 17, 2009, and before January 1, 2014, the date of acquisition for purposes of determining the percentage exclusion is the date the holding period for the stock begins.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$954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Basis adjustment to stock of S corporations making charitable contributions of property.</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the provision allowing S corporation shareholders to take into account their pro rata share of charitable deductions even if such deductions would exceed such shareholder’s adjusted basis in the S corporation.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w:t>
      </w:r>
      <w:r w:rsidR="00754AC9" w:rsidRPr="00E37C81">
        <w:rPr>
          <w:rFonts w:asciiTheme="minorHAnsi" w:hAnsiTheme="minorHAnsi"/>
          <w:b w:val="0"/>
          <w:iCs/>
          <w:sz w:val="22"/>
        </w:rPr>
        <w:t xml:space="preserve">225 </w:t>
      </w:r>
      <w:r w:rsidR="001D2AE9" w:rsidRPr="00E37C81">
        <w:rPr>
          <w:rFonts w:asciiTheme="minorHAnsi" w:hAnsiTheme="minorHAnsi"/>
          <w:b w:val="0"/>
          <w:iCs/>
          <w:sz w:val="22"/>
        </w:rPr>
        <w:t>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Reduction in S corporation recognition period for built-in gains tax.</w:t>
      </w:r>
      <w:proofErr w:type="gramEnd"/>
      <w:r w:rsidRPr="00E37C81">
        <w:rPr>
          <w:rFonts w:asciiTheme="minorHAnsi" w:hAnsiTheme="minorHAnsi"/>
          <w:sz w:val="22"/>
        </w:rPr>
        <w:t xml:space="preserve">  </w:t>
      </w:r>
      <w:r w:rsidRPr="00E37C81">
        <w:rPr>
          <w:rFonts w:asciiTheme="minorHAnsi" w:hAnsiTheme="minorHAnsi"/>
          <w:b w:val="0"/>
          <w:i w:val="0"/>
          <w:sz w:val="22"/>
        </w:rPr>
        <w:t xml:space="preserve">If a taxable corporation converts into an S corporation, the conversion is not a taxable event. However, following such a conversion, an S corporation must hold its assets for a certain period in order to avoid a tax on any built-in gains that existed at the time of the conversion. The American Recovery and Reinvestment Act reduced that period from 10 years to 7 years for sales of assets in 2009 and 2010.  The Small Business Jobs Act reduced that period to 5 years for sales of assets in 2011.  The bill extends the reduced 5-year holding period for sales occurring in 2012 and 2013.  In addition, this bill clarifies rules for </w:t>
      </w:r>
      <w:proofErr w:type="spellStart"/>
      <w:r w:rsidRPr="00E37C81">
        <w:rPr>
          <w:rFonts w:asciiTheme="minorHAnsi" w:hAnsiTheme="minorHAnsi"/>
          <w:b w:val="0"/>
          <w:i w:val="0"/>
          <w:sz w:val="22"/>
        </w:rPr>
        <w:t>carryforwards</w:t>
      </w:r>
      <w:proofErr w:type="spellEnd"/>
      <w:r w:rsidRPr="00E37C81">
        <w:rPr>
          <w:rFonts w:asciiTheme="minorHAnsi" w:hAnsiTheme="minorHAnsi"/>
          <w:b w:val="0"/>
          <w:i w:val="0"/>
          <w:sz w:val="22"/>
        </w:rPr>
        <w:t xml:space="preserve"> and installment sales.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w:t>
      </w:r>
      <w:r w:rsidR="00754AC9" w:rsidRPr="00E37C81">
        <w:rPr>
          <w:rFonts w:asciiTheme="minorHAnsi" w:hAnsiTheme="minorHAnsi"/>
          <w:b w:val="0"/>
          <w:iCs/>
          <w:sz w:val="22"/>
        </w:rPr>
        <w:t xml:space="preserve">256 </w:t>
      </w:r>
      <w:r w:rsidR="001D2AE9" w:rsidRPr="00E37C81">
        <w:rPr>
          <w:rFonts w:asciiTheme="minorHAnsi" w:hAnsiTheme="minorHAnsi"/>
          <w:b w:val="0"/>
          <w:iCs/>
          <w:sz w:val="22"/>
        </w:rPr>
        <w:t>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Empowerment zone tax incentives.</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the designation of certain economically depressed census tracts as Empowerment Zones. Businesses and individual residents within Empowerment Zones are eligible for special tax incentives.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$450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1D2AE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eastAsia="Times New Roman" w:hAnsiTheme="minorHAnsi"/>
          <w:sz w:val="22"/>
        </w:rPr>
        <w:t>Extension of tax incentives for the New York Liberty Zone.</w:t>
      </w:r>
      <w:proofErr w:type="gramEnd"/>
      <w:r w:rsidRPr="00E37C81">
        <w:rPr>
          <w:rFonts w:asciiTheme="minorHAnsi" w:eastAsia="Times New Roman" w:hAnsiTheme="minorHAnsi"/>
          <w:sz w:val="22"/>
        </w:rPr>
        <w:t xml:space="preserve">  </w:t>
      </w:r>
      <w:r w:rsidRPr="00E37C81">
        <w:rPr>
          <w:rFonts w:asciiTheme="minorHAnsi" w:hAnsiTheme="minorHAnsi"/>
          <w:b w:val="0"/>
          <w:i w:val="0"/>
          <w:sz w:val="22"/>
        </w:rPr>
        <w:t xml:space="preserve">The bill extends through 2013 the time for issuing New York Liberty Zone bonds effective for bonds issued after December 31, 2009. </w:t>
      </w:r>
    </w:p>
    <w:p w:rsidR="00754AC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754AC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754AC9" w:rsidRPr="00E37C81">
        <w:rPr>
          <w:rFonts w:asciiTheme="minorHAnsi" w:hAnsiTheme="minorHAnsi"/>
          <w:b w:val="0"/>
          <w:iCs/>
          <w:sz w:val="22"/>
        </w:rPr>
        <w:t xml:space="preserve">is estimated to have </w:t>
      </w:r>
      <w:r w:rsidR="00C101BD" w:rsidRPr="00E37C81">
        <w:rPr>
          <w:rFonts w:asciiTheme="minorHAnsi" w:hAnsiTheme="minorHAnsi"/>
          <w:b w:val="0"/>
          <w:iCs/>
          <w:sz w:val="22"/>
        </w:rPr>
        <w:t>no</w:t>
      </w:r>
      <w:r w:rsidR="00754AC9" w:rsidRPr="00E37C81">
        <w:rPr>
          <w:rFonts w:asciiTheme="minorHAnsi" w:hAnsiTheme="minorHAnsi"/>
          <w:b w:val="0"/>
          <w:iCs/>
          <w:sz w:val="22"/>
        </w:rPr>
        <w:t xml:space="preserve"> cost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Temporary increase in limit on cover over of rum excise tax revenues (from $10.50 to $13.25 per proof gallon) to Puerto Rico and the Virgin Islands.</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the provision providing for payment of $13.25 per gallon to cover over a $13.50 per proof gallon excise tax on distilled spirits produced in or imported into the United States.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$222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American Samoa economic development credit.</w:t>
      </w:r>
      <w:proofErr w:type="gramEnd"/>
      <w:r w:rsidRPr="00E37C81">
        <w:rPr>
          <w:rFonts w:asciiTheme="minorHAnsi" w:hAnsiTheme="minorHAnsi"/>
          <w:sz w:val="22"/>
        </w:rPr>
        <w:t xml:space="preserve">  </w:t>
      </w:r>
      <w:r w:rsidRPr="00E37C81">
        <w:rPr>
          <w:rFonts w:asciiTheme="minorHAnsi" w:hAnsiTheme="minorHAnsi"/>
          <w:b w:val="0"/>
          <w:i w:val="0"/>
          <w:sz w:val="22"/>
        </w:rPr>
        <w:t>C</w:t>
      </w:r>
      <w:r w:rsidRPr="00E37C81">
        <w:rPr>
          <w:rFonts w:asciiTheme="minorHAnsi" w:hAnsiTheme="minorHAnsi"/>
          <w:b w:val="0"/>
          <w:bCs w:val="0"/>
          <w:i w:val="0"/>
          <w:sz w:val="22"/>
        </w:rPr>
        <w:t xml:space="preserve">ertain domestic corporations operating in American Samoa are eligible for a possessions tax credit, which offsets their U.S. tax liability on income earned in American Samoa from active business operations, sales of assets used in a business, or certain investments in American Samoa.  Further, the credit is subject to an economic activity-based limitation, and is based on the taxpayers’, depreciation, and American Samoa income taxes. </w:t>
      </w:r>
      <w:r w:rsidRPr="00E37C81">
        <w:rPr>
          <w:rFonts w:asciiTheme="minorHAnsi" w:hAnsiTheme="minorHAnsi"/>
          <w:b w:val="0"/>
          <w:i w:val="0"/>
          <w:sz w:val="22"/>
        </w:rPr>
        <w:t xml:space="preserve">The bill extends the provision two years to the end of 2013 and modifies the credit to make it available to all qualifying manufacturing businesses operating in American Samoa.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$62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D20AD1" w:rsidRPr="00E37C81" w:rsidRDefault="00CE6495" w:rsidP="00B771E6">
      <w:pPr>
        <w:spacing w:after="0" w:line="240" w:lineRule="auto"/>
        <w:ind w:left="180"/>
        <w:rPr>
          <w:rFonts w:asciiTheme="minorHAnsi" w:eastAsiaTheme="majorEastAsia" w:hAnsiTheme="minorHAnsi" w:cstheme="majorBidi"/>
          <w:bCs/>
          <w:sz w:val="22"/>
        </w:rPr>
      </w:pPr>
      <w:proofErr w:type="gramStart"/>
      <w:r w:rsidRPr="00E37C81">
        <w:rPr>
          <w:rFonts w:asciiTheme="minorHAnsi" w:eastAsiaTheme="majorEastAsia" w:hAnsiTheme="minorHAnsi" w:cstheme="majorBidi"/>
          <w:b/>
          <w:bCs/>
          <w:i/>
          <w:sz w:val="22"/>
        </w:rPr>
        <w:t xml:space="preserve">Bonus </w:t>
      </w:r>
      <w:r w:rsidR="00FD749C" w:rsidRPr="00E37C81">
        <w:rPr>
          <w:rFonts w:asciiTheme="minorHAnsi" w:eastAsiaTheme="majorEastAsia" w:hAnsiTheme="minorHAnsi" w:cstheme="majorBidi"/>
          <w:b/>
          <w:bCs/>
          <w:i/>
          <w:sz w:val="22"/>
        </w:rPr>
        <w:t>d</w:t>
      </w:r>
      <w:r w:rsidRPr="00E37C81">
        <w:rPr>
          <w:rFonts w:asciiTheme="minorHAnsi" w:eastAsiaTheme="majorEastAsia" w:hAnsiTheme="minorHAnsi" w:cstheme="majorBidi"/>
          <w:b/>
          <w:bCs/>
          <w:i/>
          <w:sz w:val="22"/>
        </w:rPr>
        <w:t>epreciation.</w:t>
      </w:r>
      <w:proofErr w:type="gramEnd"/>
      <w:r w:rsidR="00D20AD1" w:rsidRPr="00E37C81">
        <w:rPr>
          <w:rFonts w:asciiTheme="minorHAnsi" w:eastAsiaTheme="majorEastAsia" w:hAnsiTheme="minorHAnsi" w:cstheme="majorBidi"/>
          <w:b/>
          <w:bCs/>
          <w:i/>
          <w:sz w:val="22"/>
        </w:rPr>
        <w:t xml:space="preserve"> </w:t>
      </w:r>
      <w:r w:rsidR="00D20AD1" w:rsidRPr="00E37C81">
        <w:rPr>
          <w:rFonts w:asciiTheme="minorHAnsi" w:eastAsiaTheme="majorEastAsia" w:hAnsiTheme="minorHAnsi" w:cstheme="majorBidi"/>
          <w:bCs/>
          <w:sz w:val="22"/>
        </w:rPr>
        <w:t xml:space="preserve"> Under current law, businesses are allowed to recover the cost of capital </w:t>
      </w:r>
      <w:r w:rsidR="00D20AD1" w:rsidRPr="00E37C81">
        <w:rPr>
          <w:rFonts w:asciiTheme="minorHAnsi" w:eastAsiaTheme="majorEastAsia" w:hAnsiTheme="minorHAnsi" w:cstheme="majorBidi"/>
          <w:sz w:val="22"/>
        </w:rPr>
        <w:t>expenditures over time according to a depreciation schedule.  For 2008 through 2010, Congress allowed businesses to take an additional depreciation deduction allowance equal to 50 percent of the cost of the depreciable property.  The T</w:t>
      </w:r>
      <w:r w:rsidR="006B1B38" w:rsidRPr="00E37C81">
        <w:rPr>
          <w:rFonts w:asciiTheme="minorHAnsi" w:eastAsiaTheme="majorEastAsia" w:hAnsiTheme="minorHAnsi" w:cstheme="majorBidi"/>
          <w:sz w:val="22"/>
        </w:rPr>
        <w:t xml:space="preserve">RUIRJCA </w:t>
      </w:r>
      <w:r w:rsidR="00D20AD1" w:rsidRPr="00E37C81">
        <w:rPr>
          <w:rFonts w:asciiTheme="minorHAnsi" w:eastAsiaTheme="majorEastAsia" w:hAnsiTheme="minorHAnsi" w:cstheme="majorBidi"/>
          <w:sz w:val="22"/>
        </w:rPr>
        <w:t xml:space="preserve">expanded this provision to allow 100 percent bonus depreciation for investments placed in service after September 8, 2010 and before 2012 and 50 percent bonus depreciation for investments placed in service during 2012.  This provision would extend the current 50 percent expensing provision for qualifying property purchased and placed in service before January 1, 2014 (before January 1, 2015 for certain longer-lived and transportation assets) and also allow taxpayers to elect to accelerate some AMT credits in lieu of bonus depreciation.  This provision also decouples bonus deprecation from allocation of contract costs under the percentage of completion accounting method rules for assets with a depreciable life of seven years or less that are placed in service in 2013. </w:t>
      </w:r>
      <w:r w:rsidR="00FC121F" w:rsidRPr="00E37C81">
        <w:rPr>
          <w:rFonts w:asciiTheme="minorHAnsi" w:eastAsiaTheme="majorEastAsia" w:hAnsiTheme="minorHAnsi" w:cstheme="majorBidi"/>
          <w:sz w:val="22"/>
        </w:rPr>
        <w:t>For regulated utilities, the provision clarifies that it is a violation of the normalization rules to assume a bonus depreciation benefit for ratemaking purposes when a utility has elected not to take bonus depreciation.</w:t>
      </w:r>
    </w:p>
    <w:p w:rsidR="00754AC9" w:rsidRPr="00E37C81" w:rsidRDefault="00754AC9" w:rsidP="00A87DB4">
      <w:pPr>
        <w:pStyle w:val="Heading3"/>
        <w:spacing w:before="40"/>
        <w:ind w:left="187"/>
        <w:rPr>
          <w:rFonts w:asciiTheme="minorHAnsi" w:hAnsiTheme="minorHAnsi"/>
          <w:b w:val="0"/>
          <w:iCs/>
          <w:sz w:val="22"/>
        </w:rPr>
      </w:pPr>
      <w:r w:rsidRPr="00E37C81">
        <w:rPr>
          <w:rFonts w:asciiTheme="minorHAnsi" w:hAnsiTheme="minorHAnsi"/>
          <w:b w:val="0"/>
          <w:iCs/>
          <w:sz w:val="22"/>
        </w:rPr>
        <w:t xml:space="preserve">This </w:t>
      </w:r>
      <w:r w:rsidR="006B1B38" w:rsidRPr="00E37C81">
        <w:rPr>
          <w:rFonts w:asciiTheme="minorHAnsi" w:hAnsiTheme="minorHAnsi"/>
          <w:b w:val="0"/>
          <w:iCs/>
          <w:sz w:val="22"/>
        </w:rPr>
        <w:t xml:space="preserve">provision </w:t>
      </w:r>
      <w:r w:rsidRPr="00E37C81">
        <w:rPr>
          <w:rFonts w:asciiTheme="minorHAnsi" w:hAnsiTheme="minorHAnsi"/>
          <w:b w:val="0"/>
          <w:iCs/>
          <w:sz w:val="22"/>
        </w:rPr>
        <w:t>is estimated to cost $</w:t>
      </w:r>
      <w:r w:rsidR="00C101BD" w:rsidRPr="00E37C81">
        <w:rPr>
          <w:rFonts w:asciiTheme="minorHAnsi" w:hAnsiTheme="minorHAnsi"/>
          <w:b w:val="0"/>
          <w:iCs/>
          <w:sz w:val="22"/>
        </w:rPr>
        <w:t>4.956</w:t>
      </w:r>
      <w:r w:rsidRPr="00E37C81">
        <w:rPr>
          <w:rFonts w:asciiTheme="minorHAnsi" w:hAnsiTheme="minorHAnsi"/>
          <w:b w:val="0"/>
          <w:iCs/>
          <w:sz w:val="22"/>
        </w:rPr>
        <w:t xml:space="preserve"> billion over ten years.</w:t>
      </w:r>
    </w:p>
    <w:p w:rsidR="00754AC9" w:rsidRPr="00E37C81" w:rsidRDefault="00754AC9">
      <w:pPr>
        <w:ind w:left="180"/>
        <w:rPr>
          <w:rFonts w:asciiTheme="minorHAnsi" w:eastAsiaTheme="majorEastAsia" w:hAnsiTheme="minorHAnsi" w:cstheme="majorBidi"/>
          <w:b/>
          <w:bCs/>
          <w:i/>
          <w:sz w:val="22"/>
        </w:rPr>
      </w:pPr>
    </w:p>
    <w:p w:rsidR="001D2AE9" w:rsidRPr="00E37C81" w:rsidRDefault="00CE04A9" w:rsidP="006220A8">
      <w:pPr>
        <w:pStyle w:val="Heading1"/>
        <w:tabs>
          <w:tab w:val="left" w:pos="360"/>
        </w:tabs>
        <w:spacing w:before="0"/>
        <w:rPr>
          <w:rFonts w:asciiTheme="minorHAnsi" w:hAnsiTheme="minorHAnsi"/>
          <w:color w:val="auto"/>
          <w:sz w:val="22"/>
          <w:szCs w:val="22"/>
          <w:u w:val="single"/>
        </w:rPr>
      </w:pPr>
      <w:r>
        <w:rPr>
          <w:i/>
          <w:color w:val="auto"/>
          <w:sz w:val="24"/>
          <w:szCs w:val="24"/>
        </w:rPr>
        <w:t xml:space="preserve">Title </w:t>
      </w:r>
      <w:r w:rsidR="006220A8">
        <w:rPr>
          <w:i/>
          <w:color w:val="auto"/>
          <w:sz w:val="24"/>
          <w:szCs w:val="24"/>
        </w:rPr>
        <w:t>IV.</w:t>
      </w:r>
      <w:r>
        <w:rPr>
          <w:i/>
          <w:color w:val="auto"/>
          <w:sz w:val="24"/>
          <w:szCs w:val="24"/>
        </w:rPr>
        <w:t xml:space="preserve"> </w:t>
      </w:r>
      <w:r w:rsidR="001D2AE9" w:rsidRPr="006220A8">
        <w:rPr>
          <w:i/>
          <w:color w:val="auto"/>
          <w:sz w:val="24"/>
          <w:szCs w:val="24"/>
        </w:rPr>
        <w:t xml:space="preserve">Energy </w:t>
      </w:r>
      <w:r w:rsidR="006220A8">
        <w:rPr>
          <w:i/>
          <w:color w:val="auto"/>
          <w:sz w:val="24"/>
          <w:szCs w:val="24"/>
        </w:rPr>
        <w:t>Tax Extenders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Credit for certain nonbusiness energy property (25C).</w:t>
      </w:r>
      <w:proofErr w:type="gramEnd"/>
      <w:r w:rsidRPr="00E37C81">
        <w:rPr>
          <w:rFonts w:asciiTheme="minorHAnsi" w:hAnsiTheme="minorHAnsi"/>
          <w:sz w:val="22"/>
        </w:rPr>
        <w:t xml:space="preserve">  </w:t>
      </w:r>
      <w:r w:rsidRPr="00E37C81">
        <w:rPr>
          <w:rFonts w:asciiTheme="minorHAnsi" w:hAnsiTheme="minorHAnsi"/>
          <w:b w:val="0"/>
          <w:i w:val="0"/>
          <w:sz w:val="22"/>
        </w:rPr>
        <w:t>The bill extends for two years, through 2013, the credit under Section 25C of the Code for energy-efficient improvements to existing homes, reinstating the credit as it existed before passage of the American Recovery and Reinvestment Act.  Standards for property eligible under 25C are updated to reflect improvements in energy efficiency.</w:t>
      </w:r>
      <w:r w:rsidR="00E568C7" w:rsidRPr="00E37C81">
        <w:rPr>
          <w:rFonts w:asciiTheme="minorHAnsi" w:hAnsiTheme="minorHAnsi"/>
          <w:b w:val="0"/>
          <w:i w:val="0"/>
          <w:sz w:val="22"/>
        </w:rPr>
        <w:t xml:space="preserve">  The provision also updates the energy efficiency requirements from the 2003 International Energy Conservation Code to the 2006 International Energy Conservation Code.  </w:t>
      </w:r>
      <w:r w:rsidRPr="00E37C81">
        <w:rPr>
          <w:rFonts w:asciiTheme="minorHAnsi" w:hAnsiTheme="minorHAnsi"/>
          <w:b w:val="0"/>
          <w:i w:val="0"/>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$2.4</w:t>
      </w:r>
      <w:r w:rsidR="00C101BD" w:rsidRPr="00E37C81">
        <w:rPr>
          <w:rFonts w:asciiTheme="minorHAnsi" w:hAnsiTheme="minorHAnsi"/>
          <w:b w:val="0"/>
          <w:iCs/>
          <w:sz w:val="22"/>
        </w:rPr>
        <w:t>46</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cs="Times New Roman"/>
          <w:b w:val="0"/>
          <w:i w:val="0"/>
          <w:sz w:val="22"/>
        </w:rPr>
      </w:pPr>
      <w:proofErr w:type="gramStart"/>
      <w:r w:rsidRPr="00E37C81">
        <w:rPr>
          <w:rFonts w:asciiTheme="minorHAnsi" w:hAnsiTheme="minorHAnsi"/>
          <w:sz w:val="22"/>
        </w:rPr>
        <w:t>Alternative fuel vehicle refueling property (non-hydrogen refueling property).</w:t>
      </w:r>
      <w:proofErr w:type="gramEnd"/>
      <w:r w:rsidRPr="00E37C81">
        <w:rPr>
          <w:rFonts w:asciiTheme="minorHAnsi" w:hAnsiTheme="minorHAnsi"/>
          <w:sz w:val="22"/>
        </w:rPr>
        <w:t xml:space="preserve">  </w:t>
      </w:r>
      <w:r w:rsidRPr="00E37C81">
        <w:rPr>
          <w:rFonts w:asciiTheme="minorHAnsi" w:hAnsiTheme="minorHAnsi" w:cs="Times New Roman"/>
          <w:b w:val="0"/>
          <w:i w:val="0"/>
          <w:sz w:val="22"/>
        </w:rPr>
        <w:t xml:space="preserve">The bill extends for two years, through 2013, the 30% investment tax credit for alternative vehicle refueling property.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$44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 xml:space="preserve">Plug-in </w:t>
      </w:r>
      <w:r w:rsidR="006B1B38" w:rsidRPr="00E37C81">
        <w:rPr>
          <w:rFonts w:asciiTheme="minorHAnsi" w:hAnsiTheme="minorHAnsi"/>
          <w:sz w:val="22"/>
        </w:rPr>
        <w:t>e</w:t>
      </w:r>
      <w:r w:rsidRPr="00E37C81">
        <w:rPr>
          <w:rFonts w:asciiTheme="minorHAnsi" w:hAnsiTheme="minorHAnsi"/>
          <w:sz w:val="22"/>
        </w:rPr>
        <w:t xml:space="preserve">lectric </w:t>
      </w:r>
      <w:r w:rsidR="006B1B38" w:rsidRPr="00E37C81">
        <w:rPr>
          <w:rFonts w:asciiTheme="minorHAnsi" w:hAnsiTheme="minorHAnsi"/>
          <w:sz w:val="22"/>
        </w:rPr>
        <w:t>m</w:t>
      </w:r>
      <w:r w:rsidRPr="00E37C81">
        <w:rPr>
          <w:rFonts w:asciiTheme="minorHAnsi" w:hAnsiTheme="minorHAnsi"/>
          <w:sz w:val="22"/>
        </w:rPr>
        <w:t xml:space="preserve">otorcycles and </w:t>
      </w:r>
      <w:r w:rsidR="006B1B38" w:rsidRPr="00E37C81">
        <w:rPr>
          <w:rFonts w:asciiTheme="minorHAnsi" w:hAnsiTheme="minorHAnsi"/>
          <w:sz w:val="22"/>
        </w:rPr>
        <w:t>h</w:t>
      </w:r>
      <w:r w:rsidRPr="00E37C81">
        <w:rPr>
          <w:rFonts w:asciiTheme="minorHAnsi" w:hAnsiTheme="minorHAnsi"/>
          <w:sz w:val="22"/>
        </w:rPr>
        <w:t xml:space="preserve">ighway </w:t>
      </w:r>
      <w:r w:rsidR="006B1B38" w:rsidRPr="00E37C81">
        <w:rPr>
          <w:rFonts w:asciiTheme="minorHAnsi" w:hAnsiTheme="minorHAnsi"/>
          <w:sz w:val="22"/>
        </w:rPr>
        <w:t>v</w:t>
      </w:r>
      <w:r w:rsidRPr="00E37C81">
        <w:rPr>
          <w:rFonts w:asciiTheme="minorHAnsi" w:hAnsiTheme="minorHAnsi"/>
          <w:sz w:val="22"/>
        </w:rPr>
        <w:t>ehicles.</w:t>
      </w:r>
      <w:proofErr w:type="gramEnd"/>
      <w:r w:rsidRPr="00E37C81">
        <w:rPr>
          <w:rFonts w:asciiTheme="minorHAnsi" w:hAnsiTheme="minorHAnsi"/>
          <w:sz w:val="22"/>
        </w:rPr>
        <w:t xml:space="preserve">  </w:t>
      </w:r>
      <w:r w:rsidRPr="00E37C81">
        <w:rPr>
          <w:rFonts w:asciiTheme="minorHAnsi" w:hAnsiTheme="minorHAnsi"/>
          <w:b w:val="0"/>
          <w:i w:val="0"/>
          <w:sz w:val="22"/>
        </w:rPr>
        <w:t xml:space="preserve">The provision reforms and extends for two years, through 2013, the individual income tax credit for highway-capable plug-in motorcycles and 3-wheeled vehicles. This proposal replaces a 10 percent tax credit that expired at the end of 2011 for plug-in electric motorcycles, three-wheeled vehicles and low-speed vehicles. Thus it repeals the ability for golf carts and other low-speed vehicles to qualify for the credit.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$7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eastAsia="Times New Roman" w:hAnsiTheme="minorHAnsi"/>
          <w:sz w:val="22"/>
        </w:rPr>
        <w:t xml:space="preserve">Cellulosic </w:t>
      </w:r>
      <w:r w:rsidR="00FD749C" w:rsidRPr="00E37C81">
        <w:rPr>
          <w:rFonts w:asciiTheme="minorHAnsi" w:eastAsia="Times New Roman" w:hAnsiTheme="minorHAnsi"/>
          <w:sz w:val="22"/>
        </w:rPr>
        <w:t>b</w:t>
      </w:r>
      <w:r w:rsidRPr="00E37C81">
        <w:rPr>
          <w:rFonts w:asciiTheme="minorHAnsi" w:eastAsia="Times New Roman" w:hAnsiTheme="minorHAnsi"/>
          <w:sz w:val="22"/>
        </w:rPr>
        <w:t xml:space="preserve">iofuels </w:t>
      </w:r>
      <w:r w:rsidR="00FD749C" w:rsidRPr="00E37C81">
        <w:rPr>
          <w:rFonts w:asciiTheme="minorHAnsi" w:eastAsia="Times New Roman" w:hAnsiTheme="minorHAnsi"/>
          <w:sz w:val="22"/>
        </w:rPr>
        <w:t>p</w:t>
      </w:r>
      <w:r w:rsidRPr="00E37C81">
        <w:rPr>
          <w:rFonts w:asciiTheme="minorHAnsi" w:eastAsia="Times New Roman" w:hAnsiTheme="minorHAnsi"/>
          <w:sz w:val="22"/>
        </w:rPr>
        <w:t xml:space="preserve">roducer </w:t>
      </w:r>
      <w:r w:rsidR="00FD749C" w:rsidRPr="00E37C81">
        <w:rPr>
          <w:rFonts w:asciiTheme="minorHAnsi" w:eastAsia="Times New Roman" w:hAnsiTheme="minorHAnsi"/>
          <w:sz w:val="22"/>
        </w:rPr>
        <w:t>t</w:t>
      </w:r>
      <w:r w:rsidRPr="00E37C81">
        <w:rPr>
          <w:rFonts w:asciiTheme="minorHAnsi" w:eastAsia="Times New Roman" w:hAnsiTheme="minorHAnsi"/>
          <w:sz w:val="22"/>
        </w:rPr>
        <w:t xml:space="preserve">ax </w:t>
      </w:r>
      <w:r w:rsidR="00FD749C" w:rsidRPr="00E37C81">
        <w:rPr>
          <w:rFonts w:asciiTheme="minorHAnsi" w:eastAsia="Times New Roman" w:hAnsiTheme="minorHAnsi"/>
          <w:sz w:val="22"/>
        </w:rPr>
        <w:t>c</w:t>
      </w:r>
      <w:r w:rsidRPr="00E37C81">
        <w:rPr>
          <w:rFonts w:asciiTheme="minorHAnsi" w:eastAsia="Times New Roman" w:hAnsiTheme="minorHAnsi"/>
          <w:sz w:val="22"/>
        </w:rPr>
        <w:t>redit.</w:t>
      </w:r>
      <w:proofErr w:type="gramEnd"/>
      <w:r w:rsidRPr="00E37C81">
        <w:rPr>
          <w:rFonts w:asciiTheme="minorHAnsi" w:eastAsia="Times New Roman" w:hAnsiTheme="minorHAnsi"/>
          <w:iCs/>
          <w:sz w:val="22"/>
        </w:rPr>
        <w:t xml:space="preserve">  </w:t>
      </w:r>
      <w:r w:rsidRPr="00E37C81">
        <w:rPr>
          <w:rFonts w:asciiTheme="minorHAnsi" w:hAnsiTheme="minorHAnsi"/>
          <w:b w:val="0"/>
          <w:i w:val="0"/>
          <w:sz w:val="22"/>
        </w:rPr>
        <w:t xml:space="preserve">Under current law, facilities producing cellulosic biofuel can claim a $1.01 per gallon production tax credit on fuel produced before the end of 2012.  This provision was created in the 2008 Farm Bill.  The provision would extend this production tax credit for one additional year, for cellulosic biofuel produced through 2013.  The proposal also expands the definition of qualified cellulosic biofuel production to include algae-based fuel.  </w:t>
      </w:r>
      <w:r w:rsidRPr="00E37C81">
        <w:rPr>
          <w:rFonts w:asciiTheme="minorHAnsi" w:hAnsiTheme="minorHAnsi"/>
          <w:b w:val="0"/>
          <w:i w:val="0"/>
          <w:iCs/>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$59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Incentives for biodiesel and renewable diesel</w:t>
      </w:r>
      <w:r w:rsidR="00683E62" w:rsidRPr="00E37C81">
        <w:rPr>
          <w:rFonts w:asciiTheme="minorHAnsi" w:hAnsiTheme="minorHAnsi"/>
          <w:sz w:val="22"/>
        </w:rPr>
        <w:t>.</w:t>
      </w:r>
      <w:proofErr w:type="gramEnd"/>
      <w:r w:rsidR="00683E62"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through 2013, the $1.00 per gallon tax credit for biodiesel, as well as the small </w:t>
      </w:r>
      <w:proofErr w:type="spellStart"/>
      <w:r w:rsidRPr="00E37C81">
        <w:rPr>
          <w:rFonts w:asciiTheme="minorHAnsi" w:hAnsiTheme="minorHAnsi"/>
          <w:b w:val="0"/>
          <w:i w:val="0"/>
          <w:sz w:val="22"/>
        </w:rPr>
        <w:t>agri</w:t>
      </w:r>
      <w:proofErr w:type="spellEnd"/>
      <w:r w:rsidRPr="00E37C81">
        <w:rPr>
          <w:rFonts w:asciiTheme="minorHAnsi" w:hAnsiTheme="minorHAnsi"/>
          <w:b w:val="0"/>
          <w:i w:val="0"/>
          <w:sz w:val="22"/>
        </w:rPr>
        <w:t xml:space="preserve">-biodiesel producer credit of 10 cents per gallon.  The bill also extends through 2013 the $1.00 per gallon tax credit for diesel fuel created from biomass.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$2.</w:t>
      </w:r>
      <w:r w:rsidR="00C101BD" w:rsidRPr="00E37C81">
        <w:rPr>
          <w:rFonts w:asciiTheme="minorHAnsi" w:hAnsiTheme="minorHAnsi"/>
          <w:b w:val="0"/>
          <w:iCs/>
          <w:sz w:val="22"/>
        </w:rPr>
        <w:t>181</w:t>
      </w:r>
      <w:r w:rsidR="001D2AE9"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Indian country coal production tax credit</w:t>
      </w:r>
      <w:r w:rsidR="00683E62" w:rsidRPr="00E37C81">
        <w:rPr>
          <w:rFonts w:asciiTheme="minorHAnsi" w:hAnsiTheme="minorHAnsi"/>
          <w:sz w:val="22"/>
        </w:rPr>
        <w:t>.</w:t>
      </w:r>
      <w:proofErr w:type="gramEnd"/>
      <w:r w:rsidR="00683E62" w:rsidRPr="00E37C81">
        <w:rPr>
          <w:rFonts w:asciiTheme="minorHAnsi" w:hAnsiTheme="minorHAnsi"/>
          <w:sz w:val="22"/>
        </w:rPr>
        <w:t xml:space="preserve">  </w:t>
      </w:r>
      <w:r w:rsidRPr="00E37C81">
        <w:rPr>
          <w:rFonts w:asciiTheme="minorHAnsi" w:hAnsiTheme="minorHAnsi"/>
          <w:b w:val="0"/>
          <w:i w:val="0"/>
          <w:sz w:val="22"/>
        </w:rPr>
        <w:t xml:space="preserve">Under the 2005 Energy Policy Act, coal produced on land owned by an Indian tribe qualifies for a production tax credit equivalent to $2 per ton through 2012.  This provision would extend the tax credit through 2013. </w:t>
      </w:r>
      <w:r w:rsidRPr="00E37C81">
        <w:rPr>
          <w:rFonts w:asciiTheme="minorHAnsi" w:hAnsiTheme="minorHAnsi"/>
          <w:b w:val="0"/>
          <w:i w:val="0"/>
          <w:iCs/>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r w:rsidRPr="00E37C81">
        <w:rPr>
          <w:rFonts w:asciiTheme="minorHAnsi" w:eastAsia="Times New Roman" w:hAnsiTheme="minorHAnsi"/>
          <w:sz w:val="22"/>
        </w:rPr>
        <w:t xml:space="preserve">Extension and </w:t>
      </w:r>
      <w:r w:rsidR="00FD749C" w:rsidRPr="00E37C81">
        <w:rPr>
          <w:rFonts w:asciiTheme="minorHAnsi" w:eastAsia="Times New Roman" w:hAnsiTheme="minorHAnsi"/>
          <w:sz w:val="22"/>
        </w:rPr>
        <w:t>m</w:t>
      </w:r>
      <w:r w:rsidRPr="00E37C81">
        <w:rPr>
          <w:rFonts w:asciiTheme="minorHAnsi" w:eastAsia="Times New Roman" w:hAnsiTheme="minorHAnsi"/>
          <w:sz w:val="22"/>
        </w:rPr>
        <w:t xml:space="preserve">odification of </w:t>
      </w:r>
      <w:r w:rsidR="00FD749C" w:rsidRPr="00E37C81">
        <w:rPr>
          <w:rFonts w:asciiTheme="minorHAnsi" w:eastAsia="Times New Roman" w:hAnsiTheme="minorHAnsi"/>
          <w:sz w:val="22"/>
        </w:rPr>
        <w:t>i</w:t>
      </w:r>
      <w:r w:rsidRPr="00E37C81">
        <w:rPr>
          <w:rFonts w:asciiTheme="minorHAnsi" w:eastAsia="Times New Roman" w:hAnsiTheme="minorHAnsi"/>
          <w:sz w:val="22"/>
        </w:rPr>
        <w:t xml:space="preserve">ncentives for </w:t>
      </w:r>
      <w:r w:rsidR="00FD749C" w:rsidRPr="00E37C81">
        <w:rPr>
          <w:rFonts w:asciiTheme="minorHAnsi" w:eastAsia="Times New Roman" w:hAnsiTheme="minorHAnsi"/>
          <w:sz w:val="22"/>
        </w:rPr>
        <w:t>r</w:t>
      </w:r>
      <w:r w:rsidRPr="00E37C81">
        <w:rPr>
          <w:rFonts w:asciiTheme="minorHAnsi" w:eastAsia="Times New Roman" w:hAnsiTheme="minorHAnsi"/>
          <w:sz w:val="22"/>
        </w:rPr>
        <w:t xml:space="preserve">enewable </w:t>
      </w:r>
      <w:r w:rsidR="00FD749C" w:rsidRPr="00E37C81">
        <w:rPr>
          <w:rFonts w:asciiTheme="minorHAnsi" w:eastAsia="Times New Roman" w:hAnsiTheme="minorHAnsi"/>
          <w:sz w:val="22"/>
        </w:rPr>
        <w:t>e</w:t>
      </w:r>
      <w:r w:rsidRPr="00E37C81">
        <w:rPr>
          <w:rFonts w:asciiTheme="minorHAnsi" w:eastAsia="Times New Roman" w:hAnsiTheme="minorHAnsi"/>
          <w:sz w:val="22"/>
        </w:rPr>
        <w:t xml:space="preserve">lectricity </w:t>
      </w:r>
      <w:r w:rsidR="00FD749C" w:rsidRPr="00E37C81">
        <w:rPr>
          <w:rFonts w:asciiTheme="minorHAnsi" w:eastAsia="Times New Roman" w:hAnsiTheme="minorHAnsi"/>
          <w:sz w:val="22"/>
        </w:rPr>
        <w:t>p</w:t>
      </w:r>
      <w:r w:rsidRPr="00E37C81">
        <w:rPr>
          <w:rFonts w:asciiTheme="minorHAnsi" w:eastAsia="Times New Roman" w:hAnsiTheme="minorHAnsi"/>
          <w:sz w:val="22"/>
        </w:rPr>
        <w:t xml:space="preserve">roperty </w:t>
      </w:r>
      <w:r w:rsidR="00FD749C" w:rsidRPr="00E37C81">
        <w:rPr>
          <w:rFonts w:asciiTheme="minorHAnsi" w:eastAsia="Times New Roman" w:hAnsiTheme="minorHAnsi"/>
          <w:sz w:val="22"/>
        </w:rPr>
        <w:t>w</w:t>
      </w:r>
      <w:r w:rsidRPr="00E37C81">
        <w:rPr>
          <w:rFonts w:asciiTheme="minorHAnsi" w:eastAsia="Times New Roman" w:hAnsiTheme="minorHAnsi"/>
          <w:sz w:val="22"/>
        </w:rPr>
        <w:t xml:space="preserve">ind </w:t>
      </w:r>
      <w:r w:rsidR="00FD749C" w:rsidRPr="00E37C81">
        <w:rPr>
          <w:rFonts w:asciiTheme="minorHAnsi" w:eastAsia="Times New Roman" w:hAnsiTheme="minorHAnsi"/>
          <w:sz w:val="22"/>
        </w:rPr>
        <w:t>p</w:t>
      </w:r>
      <w:r w:rsidRPr="00E37C81">
        <w:rPr>
          <w:rFonts w:asciiTheme="minorHAnsi" w:eastAsia="Times New Roman" w:hAnsiTheme="minorHAnsi"/>
          <w:sz w:val="22"/>
        </w:rPr>
        <w:t xml:space="preserve">roduction </w:t>
      </w:r>
      <w:r w:rsidR="00FD749C" w:rsidRPr="00E37C81">
        <w:rPr>
          <w:rFonts w:asciiTheme="minorHAnsi" w:eastAsia="Times New Roman" w:hAnsiTheme="minorHAnsi"/>
          <w:sz w:val="22"/>
        </w:rPr>
        <w:t>t</w:t>
      </w:r>
      <w:r w:rsidRPr="00E37C81">
        <w:rPr>
          <w:rFonts w:asciiTheme="minorHAnsi" w:eastAsia="Times New Roman" w:hAnsiTheme="minorHAnsi"/>
          <w:sz w:val="22"/>
        </w:rPr>
        <w:t xml:space="preserve">ax </w:t>
      </w:r>
      <w:r w:rsidR="00FD749C" w:rsidRPr="00E37C81">
        <w:rPr>
          <w:rFonts w:asciiTheme="minorHAnsi" w:eastAsia="Times New Roman" w:hAnsiTheme="minorHAnsi"/>
          <w:sz w:val="22"/>
        </w:rPr>
        <w:t>c</w:t>
      </w:r>
      <w:r w:rsidRPr="00E37C81">
        <w:rPr>
          <w:rFonts w:asciiTheme="minorHAnsi" w:eastAsia="Times New Roman" w:hAnsiTheme="minorHAnsi"/>
          <w:sz w:val="22"/>
        </w:rPr>
        <w:t xml:space="preserve">redit and </w:t>
      </w:r>
      <w:r w:rsidR="00FD749C" w:rsidRPr="00E37C81">
        <w:rPr>
          <w:rFonts w:asciiTheme="minorHAnsi" w:eastAsia="Times New Roman" w:hAnsiTheme="minorHAnsi"/>
          <w:sz w:val="22"/>
        </w:rPr>
        <w:t>m</w:t>
      </w:r>
      <w:r w:rsidRPr="00E37C81">
        <w:rPr>
          <w:rFonts w:asciiTheme="minorHAnsi" w:eastAsia="Times New Roman" w:hAnsiTheme="minorHAnsi"/>
          <w:sz w:val="22"/>
        </w:rPr>
        <w:t xml:space="preserve">odification of </w:t>
      </w:r>
      <w:r w:rsidR="00FD749C" w:rsidRPr="00E37C81">
        <w:rPr>
          <w:rFonts w:asciiTheme="minorHAnsi" w:eastAsia="Times New Roman" w:hAnsiTheme="minorHAnsi"/>
          <w:sz w:val="22"/>
        </w:rPr>
        <w:t>o</w:t>
      </w:r>
      <w:r w:rsidRPr="00E37C81">
        <w:rPr>
          <w:rFonts w:asciiTheme="minorHAnsi" w:eastAsia="Times New Roman" w:hAnsiTheme="minorHAnsi"/>
          <w:sz w:val="22"/>
        </w:rPr>
        <w:t xml:space="preserve">ther </w:t>
      </w:r>
      <w:r w:rsidR="00FD749C" w:rsidRPr="00E37C81">
        <w:rPr>
          <w:rFonts w:asciiTheme="minorHAnsi" w:eastAsia="Times New Roman" w:hAnsiTheme="minorHAnsi"/>
          <w:sz w:val="22"/>
        </w:rPr>
        <w:t>r</w:t>
      </w:r>
      <w:r w:rsidRPr="00E37C81">
        <w:rPr>
          <w:rFonts w:asciiTheme="minorHAnsi" w:eastAsia="Times New Roman" w:hAnsiTheme="minorHAnsi"/>
          <w:sz w:val="22"/>
        </w:rPr>
        <w:t xml:space="preserve">enewable </w:t>
      </w:r>
      <w:r w:rsidR="00FD749C" w:rsidRPr="00E37C81">
        <w:rPr>
          <w:rFonts w:asciiTheme="minorHAnsi" w:eastAsia="Times New Roman" w:hAnsiTheme="minorHAnsi"/>
          <w:sz w:val="22"/>
        </w:rPr>
        <w:t>e</w:t>
      </w:r>
      <w:r w:rsidRPr="00E37C81">
        <w:rPr>
          <w:rFonts w:asciiTheme="minorHAnsi" w:eastAsia="Times New Roman" w:hAnsiTheme="minorHAnsi"/>
          <w:sz w:val="22"/>
        </w:rPr>
        <w:t xml:space="preserve">nergy </w:t>
      </w:r>
      <w:r w:rsidR="00FD749C" w:rsidRPr="00E37C81">
        <w:rPr>
          <w:rFonts w:asciiTheme="minorHAnsi" w:eastAsia="Times New Roman" w:hAnsiTheme="minorHAnsi"/>
          <w:sz w:val="22"/>
        </w:rPr>
        <w:t>c</w:t>
      </w:r>
      <w:r w:rsidRPr="00E37C81">
        <w:rPr>
          <w:rFonts w:asciiTheme="minorHAnsi" w:eastAsia="Times New Roman" w:hAnsiTheme="minorHAnsi"/>
          <w:sz w:val="22"/>
        </w:rPr>
        <w:t>redits</w:t>
      </w:r>
      <w:r w:rsidR="00683E62" w:rsidRPr="00E37C81">
        <w:rPr>
          <w:rFonts w:asciiTheme="minorHAnsi" w:eastAsia="Times New Roman" w:hAnsiTheme="minorHAnsi"/>
          <w:sz w:val="22"/>
        </w:rPr>
        <w:t xml:space="preserve">.  </w:t>
      </w:r>
      <w:r w:rsidRPr="00E37C81">
        <w:rPr>
          <w:rFonts w:asciiTheme="minorHAnsi" w:hAnsiTheme="minorHAnsi"/>
          <w:b w:val="0"/>
          <w:i w:val="0"/>
          <w:sz w:val="22"/>
        </w:rPr>
        <w:t xml:space="preserve">Under current law, taxpayers can claim a 2.2 cent per kilowatt hour tax credit for wind electricity produced for a 10-year period from a wind facility placed-in-service by the end of 2012 (the wind production tax credit).  The bill extends through 2013 the production tax credit for wind.  The provision also modifies section 45 to allow renewable energy facilities that begin construction before the end of 2013 to claim the 10-year credit, and amends section 45 to clarify that commonly recycled paper is excluded from qualifying from the production tax credit.  </w:t>
      </w:r>
    </w:p>
    <w:p w:rsidR="001D2AE9" w:rsidRPr="00E37C81" w:rsidRDefault="001D2AE9" w:rsidP="0047641D">
      <w:pPr>
        <w:pStyle w:val="Heading3"/>
        <w:spacing w:before="40"/>
        <w:ind w:left="187"/>
        <w:rPr>
          <w:rFonts w:asciiTheme="minorHAnsi" w:hAnsiTheme="minorHAnsi"/>
          <w:b w:val="0"/>
          <w:iCs/>
          <w:sz w:val="22"/>
        </w:rPr>
      </w:pPr>
      <w:r w:rsidRPr="00E37C81">
        <w:rPr>
          <w:rFonts w:asciiTheme="minorHAnsi" w:hAnsiTheme="minorHAnsi"/>
          <w:b w:val="0"/>
          <w:iCs/>
          <w:sz w:val="22"/>
        </w:rPr>
        <w:t xml:space="preserve">This </w:t>
      </w:r>
      <w:r w:rsidR="006B1B38" w:rsidRPr="00E37C81">
        <w:rPr>
          <w:rFonts w:asciiTheme="minorHAnsi" w:hAnsiTheme="minorHAnsi"/>
          <w:b w:val="0"/>
          <w:iCs/>
          <w:sz w:val="22"/>
        </w:rPr>
        <w:t xml:space="preserve">provision </w:t>
      </w:r>
      <w:r w:rsidRPr="00E37C81">
        <w:rPr>
          <w:rFonts w:asciiTheme="minorHAnsi" w:hAnsiTheme="minorHAnsi"/>
          <w:b w:val="0"/>
          <w:iCs/>
          <w:sz w:val="22"/>
        </w:rPr>
        <w:t>is estimated to have a net of cost $12.1</w:t>
      </w:r>
      <w:r w:rsidR="00C101BD" w:rsidRPr="00E37C81">
        <w:rPr>
          <w:rFonts w:asciiTheme="minorHAnsi" w:hAnsiTheme="minorHAnsi"/>
          <w:b w:val="0"/>
          <w:iCs/>
          <w:sz w:val="22"/>
        </w:rPr>
        <w:t>09</w:t>
      </w:r>
      <w:r w:rsidRPr="00E37C81">
        <w:rPr>
          <w:rFonts w:asciiTheme="minorHAnsi" w:hAnsiTheme="minorHAnsi"/>
          <w:b w:val="0"/>
          <w:iCs/>
          <w:sz w:val="22"/>
        </w:rPr>
        <w:t xml:space="preserve"> billion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eastAsia="Times New Roman" w:hAnsiTheme="minorHAnsi"/>
          <w:sz w:val="22"/>
        </w:rPr>
        <w:t xml:space="preserve">Investment </w:t>
      </w:r>
      <w:r w:rsidR="00FD749C" w:rsidRPr="00E37C81">
        <w:rPr>
          <w:rFonts w:asciiTheme="minorHAnsi" w:eastAsia="Times New Roman" w:hAnsiTheme="minorHAnsi"/>
          <w:sz w:val="22"/>
        </w:rPr>
        <w:t>t</w:t>
      </w:r>
      <w:r w:rsidRPr="00E37C81">
        <w:rPr>
          <w:rFonts w:asciiTheme="minorHAnsi" w:eastAsia="Times New Roman" w:hAnsiTheme="minorHAnsi"/>
          <w:sz w:val="22"/>
        </w:rPr>
        <w:t xml:space="preserve">ax </w:t>
      </w:r>
      <w:r w:rsidR="00FD749C" w:rsidRPr="00E37C81">
        <w:rPr>
          <w:rFonts w:asciiTheme="minorHAnsi" w:eastAsia="Times New Roman" w:hAnsiTheme="minorHAnsi"/>
          <w:sz w:val="22"/>
        </w:rPr>
        <w:t>c</w:t>
      </w:r>
      <w:r w:rsidRPr="00E37C81">
        <w:rPr>
          <w:rFonts w:asciiTheme="minorHAnsi" w:eastAsia="Times New Roman" w:hAnsiTheme="minorHAnsi"/>
          <w:sz w:val="22"/>
        </w:rPr>
        <w:t xml:space="preserve">redit in </w:t>
      </w:r>
      <w:r w:rsidR="00FD749C" w:rsidRPr="00E37C81">
        <w:rPr>
          <w:rFonts w:asciiTheme="minorHAnsi" w:eastAsia="Times New Roman" w:hAnsiTheme="minorHAnsi"/>
          <w:sz w:val="22"/>
        </w:rPr>
        <w:t>l</w:t>
      </w:r>
      <w:r w:rsidRPr="00E37C81">
        <w:rPr>
          <w:rFonts w:asciiTheme="minorHAnsi" w:eastAsia="Times New Roman" w:hAnsiTheme="minorHAnsi"/>
          <w:sz w:val="22"/>
        </w:rPr>
        <w:t xml:space="preserve">ieu of </w:t>
      </w:r>
      <w:r w:rsidR="00FD749C" w:rsidRPr="00E37C81">
        <w:rPr>
          <w:rFonts w:asciiTheme="minorHAnsi" w:eastAsia="Times New Roman" w:hAnsiTheme="minorHAnsi"/>
          <w:sz w:val="22"/>
        </w:rPr>
        <w:t>p</w:t>
      </w:r>
      <w:r w:rsidRPr="00E37C81">
        <w:rPr>
          <w:rFonts w:asciiTheme="minorHAnsi" w:eastAsia="Times New Roman" w:hAnsiTheme="minorHAnsi"/>
          <w:sz w:val="22"/>
        </w:rPr>
        <w:t xml:space="preserve">roduction </w:t>
      </w:r>
      <w:r w:rsidR="00FD749C" w:rsidRPr="00E37C81">
        <w:rPr>
          <w:rFonts w:asciiTheme="minorHAnsi" w:eastAsia="Times New Roman" w:hAnsiTheme="minorHAnsi"/>
          <w:sz w:val="22"/>
        </w:rPr>
        <w:t>t</w:t>
      </w:r>
      <w:r w:rsidRPr="00E37C81">
        <w:rPr>
          <w:rFonts w:asciiTheme="minorHAnsi" w:eastAsia="Times New Roman" w:hAnsiTheme="minorHAnsi"/>
          <w:sz w:val="22"/>
        </w:rPr>
        <w:t xml:space="preserve">ax </w:t>
      </w:r>
      <w:r w:rsidR="00FD749C" w:rsidRPr="00E37C81">
        <w:rPr>
          <w:rFonts w:asciiTheme="minorHAnsi" w:eastAsia="Times New Roman" w:hAnsiTheme="minorHAnsi"/>
          <w:sz w:val="22"/>
        </w:rPr>
        <w:t>c</w:t>
      </w:r>
      <w:r w:rsidRPr="00E37C81">
        <w:rPr>
          <w:rFonts w:asciiTheme="minorHAnsi" w:eastAsia="Times New Roman" w:hAnsiTheme="minorHAnsi"/>
          <w:sz w:val="22"/>
        </w:rPr>
        <w:t>redit</w:t>
      </w:r>
      <w:r w:rsidR="00683E62" w:rsidRPr="00E37C81">
        <w:rPr>
          <w:rFonts w:asciiTheme="minorHAnsi" w:eastAsia="Times New Roman" w:hAnsiTheme="minorHAnsi"/>
          <w:sz w:val="22"/>
        </w:rPr>
        <w:t>.</w:t>
      </w:r>
      <w:proofErr w:type="gramEnd"/>
      <w:r w:rsidR="00683E62" w:rsidRPr="00E37C81">
        <w:rPr>
          <w:rFonts w:asciiTheme="minorHAnsi" w:eastAsia="Times New Roman" w:hAnsiTheme="minorHAnsi"/>
          <w:sz w:val="22"/>
        </w:rPr>
        <w:t xml:space="preserve">  </w:t>
      </w:r>
      <w:r w:rsidRPr="00E37C81">
        <w:rPr>
          <w:rFonts w:asciiTheme="minorHAnsi" w:hAnsiTheme="minorHAnsi"/>
          <w:b w:val="0"/>
          <w:i w:val="0"/>
          <w:sz w:val="22"/>
        </w:rPr>
        <w:t xml:space="preserve">Under current law, facilities that produce electricity from solar facilities are eligible to take a thirty percent (30%) investment tax credit in the year that the facility is placed-in-service.  Facilities that produce electricity from wind, closed-loop biomass, open-loop biomass, geothermal, small irrigation, hydropower, landfill gas, waste-to-energy, and marine renewable facilities are eligible for a production tax credit for electricity produced over a ten-year period.  The investment tax credit is better for small and offshore wind facilities.  The bill would allow facilities qualifying for the production tax credit to elect to take the investment tax credit in lieu of the production tax credit for facilities that begin construction by the end of 2013.  </w:t>
      </w:r>
    </w:p>
    <w:p w:rsidR="001D2AE9" w:rsidRPr="00E37C81" w:rsidRDefault="001D2AE9" w:rsidP="0047641D">
      <w:pPr>
        <w:pStyle w:val="Heading3"/>
        <w:spacing w:before="40"/>
        <w:ind w:left="187"/>
        <w:rPr>
          <w:rFonts w:asciiTheme="minorHAnsi" w:hAnsiTheme="minorHAnsi"/>
          <w:b w:val="0"/>
          <w:iCs/>
          <w:sz w:val="22"/>
        </w:rPr>
      </w:pPr>
      <w:r w:rsidRPr="00E37C81">
        <w:rPr>
          <w:rFonts w:asciiTheme="minorHAnsi" w:hAnsiTheme="minorHAnsi"/>
          <w:b w:val="0"/>
          <w:iCs/>
          <w:sz w:val="22"/>
        </w:rPr>
        <w:t xml:space="preserve">This </w:t>
      </w:r>
      <w:r w:rsidR="006B1B38" w:rsidRPr="00E37C81">
        <w:rPr>
          <w:rFonts w:asciiTheme="minorHAnsi" w:hAnsiTheme="minorHAnsi"/>
          <w:b w:val="0"/>
          <w:iCs/>
          <w:sz w:val="22"/>
        </w:rPr>
        <w:t xml:space="preserve">provision </w:t>
      </w:r>
      <w:r w:rsidRPr="00E37C81">
        <w:rPr>
          <w:rFonts w:asciiTheme="minorHAnsi" w:hAnsiTheme="minorHAnsi"/>
          <w:b w:val="0"/>
          <w:iCs/>
          <w:sz w:val="22"/>
        </w:rPr>
        <w:t>is estimated to cost $135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sz w:val="22"/>
        </w:rPr>
      </w:pPr>
      <w:proofErr w:type="gramStart"/>
      <w:r w:rsidRPr="00E37C81">
        <w:rPr>
          <w:rFonts w:asciiTheme="minorHAnsi" w:hAnsiTheme="minorHAnsi"/>
          <w:sz w:val="22"/>
        </w:rPr>
        <w:t>Credit for construction of new energy efficient homes</w:t>
      </w:r>
      <w:r w:rsidR="00683E62" w:rsidRPr="00E37C81">
        <w:rPr>
          <w:rFonts w:asciiTheme="minorHAnsi" w:hAnsiTheme="minorHAnsi"/>
          <w:sz w:val="22"/>
        </w:rPr>
        <w:t>.</w:t>
      </w:r>
      <w:proofErr w:type="gramEnd"/>
      <w:r w:rsidR="00683E62"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through 2013, the credit for the construction of energy-efficient new homes that achieve a 30% or 50% reduction in heating and cooling energy consumption relative to a comparable dwelling constructed per the standards of the 2003 International Energy Conservation Code (including supplements).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$154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Credit for energy efficient appliances</w:t>
      </w:r>
      <w:r w:rsidR="00683E62" w:rsidRPr="00E37C81">
        <w:rPr>
          <w:rFonts w:asciiTheme="minorHAnsi" w:hAnsiTheme="minorHAnsi"/>
          <w:sz w:val="22"/>
        </w:rPr>
        <w:t>.</w:t>
      </w:r>
      <w:proofErr w:type="gramEnd"/>
      <w:r w:rsidR="00683E62" w:rsidRPr="00E37C81">
        <w:rPr>
          <w:rFonts w:asciiTheme="minorHAnsi" w:hAnsiTheme="minorHAnsi"/>
          <w:sz w:val="22"/>
        </w:rPr>
        <w:t xml:space="preserve">  </w:t>
      </w:r>
      <w:r w:rsidRPr="00E37C81">
        <w:rPr>
          <w:rFonts w:asciiTheme="minorHAnsi" w:hAnsiTheme="minorHAnsi"/>
          <w:b w:val="0"/>
          <w:i w:val="0"/>
          <w:sz w:val="22"/>
        </w:rPr>
        <w:t xml:space="preserve">The bill extends for two years, through 2013, the tax credit for US-based manufacturers of energy-efficient clothes washers, dishwashers and refrigerators. </w:t>
      </w:r>
      <w:r w:rsidRPr="00E37C81">
        <w:rPr>
          <w:rFonts w:asciiTheme="minorHAnsi" w:hAnsiTheme="minorHAnsi"/>
          <w:b w:val="0"/>
          <w:i w:val="0"/>
          <w:iCs/>
          <w:sz w:val="22"/>
        </w:rPr>
        <w:t xml:space="preserve"> </w:t>
      </w:r>
    </w:p>
    <w:p w:rsidR="001D2AE9" w:rsidRPr="00E37C81" w:rsidRDefault="006B1B38" w:rsidP="00A87DB4">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$650 million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eastAsia="Times New Roman" w:hAnsiTheme="minorHAnsi"/>
          <w:sz w:val="22"/>
        </w:rPr>
        <w:t xml:space="preserve">Cellulosic </w:t>
      </w:r>
      <w:r w:rsidR="00FD749C" w:rsidRPr="00E37C81">
        <w:rPr>
          <w:rFonts w:asciiTheme="minorHAnsi" w:eastAsia="Times New Roman" w:hAnsiTheme="minorHAnsi"/>
          <w:sz w:val="22"/>
        </w:rPr>
        <w:t>b</w:t>
      </w:r>
      <w:r w:rsidRPr="00E37C81">
        <w:rPr>
          <w:rFonts w:asciiTheme="minorHAnsi" w:eastAsia="Times New Roman" w:hAnsiTheme="minorHAnsi"/>
          <w:sz w:val="22"/>
        </w:rPr>
        <w:t xml:space="preserve">iofuels </w:t>
      </w:r>
      <w:r w:rsidR="00FD749C" w:rsidRPr="00E37C81">
        <w:rPr>
          <w:rFonts w:asciiTheme="minorHAnsi" w:eastAsia="Times New Roman" w:hAnsiTheme="minorHAnsi"/>
          <w:sz w:val="22"/>
        </w:rPr>
        <w:t>b</w:t>
      </w:r>
      <w:r w:rsidRPr="00E37C81">
        <w:rPr>
          <w:rFonts w:asciiTheme="minorHAnsi" w:eastAsia="Times New Roman" w:hAnsiTheme="minorHAnsi"/>
          <w:sz w:val="22"/>
        </w:rPr>
        <w:t xml:space="preserve">onus </w:t>
      </w:r>
      <w:r w:rsidR="00FD749C" w:rsidRPr="00E37C81">
        <w:rPr>
          <w:rFonts w:asciiTheme="minorHAnsi" w:eastAsia="Times New Roman" w:hAnsiTheme="minorHAnsi"/>
          <w:sz w:val="22"/>
        </w:rPr>
        <w:t>d</w:t>
      </w:r>
      <w:r w:rsidRPr="00E37C81">
        <w:rPr>
          <w:rFonts w:asciiTheme="minorHAnsi" w:eastAsia="Times New Roman" w:hAnsiTheme="minorHAnsi"/>
          <w:sz w:val="22"/>
        </w:rPr>
        <w:t>epreciation</w:t>
      </w:r>
      <w:r w:rsidR="00683E62" w:rsidRPr="00E37C81">
        <w:rPr>
          <w:rFonts w:asciiTheme="minorHAnsi" w:eastAsia="Times New Roman" w:hAnsiTheme="minorHAnsi"/>
          <w:sz w:val="22"/>
        </w:rPr>
        <w:t>.</w:t>
      </w:r>
      <w:proofErr w:type="gramEnd"/>
      <w:r w:rsidR="00683E62" w:rsidRPr="00E37C81">
        <w:rPr>
          <w:rFonts w:asciiTheme="minorHAnsi" w:eastAsia="Times New Roman" w:hAnsiTheme="minorHAnsi"/>
          <w:sz w:val="22"/>
        </w:rPr>
        <w:t xml:space="preserve">  </w:t>
      </w:r>
      <w:r w:rsidRPr="00E37C81">
        <w:rPr>
          <w:rFonts w:asciiTheme="minorHAnsi" w:hAnsiTheme="minorHAnsi"/>
          <w:b w:val="0"/>
          <w:i w:val="0"/>
          <w:sz w:val="22"/>
        </w:rPr>
        <w:t xml:space="preserve">Under current law, facilities producing cellulosic biofuel can expense 50 percent of their eligible capital costs in the first year for facilities placed-in-service by the end of 2012.  This provision was created in the 2008 Farm Bill.  The provision would extend this bonus depreciation for one additional year for facilities placed-in-service before the end of 2013.  The proposal also expands the definition of qualified cellulosic biofuel production to include algae-based fuel.  </w:t>
      </w:r>
      <w:r w:rsidRPr="00E37C81">
        <w:rPr>
          <w:rFonts w:asciiTheme="minorHAnsi" w:hAnsiTheme="minorHAnsi"/>
          <w:b w:val="0"/>
          <w:i w:val="0"/>
          <w:iCs/>
          <w:sz w:val="22"/>
        </w:rPr>
        <w:t xml:space="preserve">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less than $500,000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0"/>
        <w:rPr>
          <w:rFonts w:asciiTheme="minorHAnsi" w:hAnsiTheme="minorHAnsi"/>
          <w:b w:val="0"/>
          <w:i w:val="0"/>
          <w:iCs/>
          <w:sz w:val="22"/>
        </w:rPr>
      </w:pPr>
      <w:proofErr w:type="gramStart"/>
      <w:r w:rsidRPr="00E37C81">
        <w:rPr>
          <w:rFonts w:asciiTheme="minorHAnsi" w:hAnsiTheme="minorHAnsi"/>
          <w:sz w:val="22"/>
        </w:rPr>
        <w:t>Special rule for sales or dispositions to implement Federal Energy Regulatory Commission or State electric restructuring policy</w:t>
      </w:r>
      <w:r w:rsidR="00683E62" w:rsidRPr="00E37C81">
        <w:rPr>
          <w:rFonts w:asciiTheme="minorHAnsi" w:hAnsiTheme="minorHAnsi"/>
          <w:sz w:val="22"/>
        </w:rPr>
        <w:t>.</w:t>
      </w:r>
      <w:proofErr w:type="gramEnd"/>
      <w:r w:rsidR="00683E62" w:rsidRPr="00E37C81">
        <w:rPr>
          <w:rFonts w:asciiTheme="minorHAnsi" w:hAnsiTheme="minorHAnsi"/>
          <w:sz w:val="22"/>
        </w:rPr>
        <w:t xml:space="preserve">  </w:t>
      </w:r>
      <w:r w:rsidRPr="00E37C81">
        <w:rPr>
          <w:rFonts w:asciiTheme="minorHAnsi" w:hAnsiTheme="minorHAnsi"/>
          <w:b w:val="0"/>
          <w:bCs w:val="0"/>
          <w:i w:val="0"/>
          <w:sz w:val="22"/>
        </w:rPr>
        <w:t xml:space="preserve">The bill extends for two years, for sales prior to January 1, 2014, the present law deferral of gain on sales of transmission property by vertically integrated electric utilities to FERC-approved independent transmission companies.  Rather than recognizing the full amount of gain in the year of sale, this provision would allow gain on such sales to be recognized ratably over an eight-year period.  </w:t>
      </w:r>
      <w:r w:rsidRPr="00E37C81">
        <w:rPr>
          <w:rFonts w:asciiTheme="minorHAnsi" w:hAnsiTheme="minorHAnsi"/>
          <w:b w:val="0"/>
          <w:i w:val="0"/>
          <w:iCs/>
          <w:sz w:val="22"/>
        </w:rPr>
        <w:t xml:space="preserve"> </w:t>
      </w:r>
    </w:p>
    <w:p w:rsidR="00DC24FE" w:rsidRPr="00E37C81" w:rsidRDefault="006B1B38" w:rsidP="00A87DB4">
      <w:pPr>
        <w:pStyle w:val="Heading3"/>
        <w:spacing w:before="40"/>
        <w:ind w:left="187"/>
        <w:rPr>
          <w:rFonts w:asciiTheme="minorHAnsi" w:hAnsiTheme="minorHAnsi"/>
          <w:sz w:val="22"/>
        </w:rPr>
      </w:pPr>
      <w:r w:rsidRPr="00E37C81">
        <w:rPr>
          <w:rFonts w:asciiTheme="minorHAnsi" w:hAnsiTheme="minorHAnsi"/>
          <w:b w:val="0"/>
          <w:bCs w:val="0"/>
          <w:iCs/>
          <w:sz w:val="22"/>
        </w:rPr>
        <w:t>T</w:t>
      </w:r>
      <w:r w:rsidR="001D2AE9" w:rsidRPr="00E37C81">
        <w:rPr>
          <w:rFonts w:asciiTheme="minorHAnsi" w:hAnsiTheme="minorHAnsi"/>
          <w:b w:val="0"/>
          <w:bCs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bCs w:val="0"/>
          <w:iCs/>
          <w:sz w:val="22"/>
        </w:rPr>
        <w:t>has a negligible cost over ten years.</w:t>
      </w:r>
    </w:p>
    <w:p w:rsidR="00B771E6" w:rsidRPr="00E37C81" w:rsidRDefault="00B771E6" w:rsidP="00B771E6">
      <w:pPr>
        <w:spacing w:after="0" w:line="240" w:lineRule="auto"/>
        <w:ind w:left="180"/>
        <w:rPr>
          <w:rFonts w:asciiTheme="minorHAnsi" w:hAnsiTheme="minorHAnsi" w:cstheme="minorHAnsi"/>
          <w:sz w:val="28"/>
          <w:szCs w:val="28"/>
        </w:rPr>
      </w:pPr>
    </w:p>
    <w:p w:rsidR="00754AC9" w:rsidRPr="00E37C81" w:rsidRDefault="001D2AE9" w:rsidP="00CE7B84">
      <w:pPr>
        <w:pStyle w:val="Heading3"/>
        <w:spacing w:before="0"/>
        <w:ind w:left="187"/>
        <w:rPr>
          <w:rFonts w:asciiTheme="minorHAnsi" w:hAnsiTheme="minorHAnsi"/>
          <w:b w:val="0"/>
          <w:i w:val="0"/>
          <w:sz w:val="22"/>
        </w:rPr>
      </w:pPr>
      <w:proofErr w:type="gramStart"/>
      <w:r w:rsidRPr="00E37C81">
        <w:rPr>
          <w:rFonts w:asciiTheme="minorHAnsi" w:hAnsiTheme="minorHAnsi"/>
          <w:sz w:val="22"/>
        </w:rPr>
        <w:t>Incentives for alternative fuel and alternative fuel mixtures (other than liquefied hydrogen)</w:t>
      </w:r>
      <w:r w:rsidR="00683E62" w:rsidRPr="00E37C81">
        <w:rPr>
          <w:rFonts w:asciiTheme="minorHAnsi" w:hAnsiTheme="minorHAnsi"/>
          <w:sz w:val="22"/>
        </w:rPr>
        <w:t>.</w:t>
      </w:r>
      <w:proofErr w:type="gramEnd"/>
      <w:r w:rsidR="00683E62" w:rsidRPr="00E37C81">
        <w:rPr>
          <w:rFonts w:asciiTheme="minorHAnsi" w:hAnsiTheme="minorHAnsi"/>
          <w:sz w:val="22"/>
        </w:rPr>
        <w:t xml:space="preserve">  </w:t>
      </w:r>
      <w:r w:rsidRPr="00E37C81">
        <w:rPr>
          <w:rFonts w:asciiTheme="minorHAnsi" w:hAnsiTheme="minorHAnsi"/>
          <w:b w:val="0"/>
          <w:i w:val="0"/>
          <w:sz w:val="22"/>
        </w:rPr>
        <w:t xml:space="preserve">The bill extends through 2013 the $0.50 per gallon alternative fuel tax credit and alternative fuel mixture tax credit.  This credit can be claimed as a nonrefundable excise tax credit or a refundable income tax credit.  Due to claims of abuse in the alternative mixture tax credit, the Committee adopted an amendment denying taxpayers from claiming the refundable portion of the alternative fuel mixture tax credit. </w:t>
      </w:r>
    </w:p>
    <w:p w:rsidR="001D2AE9" w:rsidRPr="00E37C81" w:rsidRDefault="006B1B38" w:rsidP="0047641D">
      <w:pPr>
        <w:pStyle w:val="Heading3"/>
        <w:spacing w:before="40"/>
        <w:ind w:left="187"/>
        <w:rPr>
          <w:rFonts w:asciiTheme="minorHAnsi" w:hAnsiTheme="minorHAnsi"/>
          <w:b w:val="0"/>
          <w:iCs/>
          <w:sz w:val="22"/>
        </w:rPr>
      </w:pPr>
      <w:r w:rsidRPr="00E37C81">
        <w:rPr>
          <w:rFonts w:asciiTheme="minorHAnsi" w:hAnsiTheme="minorHAnsi"/>
          <w:b w:val="0"/>
          <w:iCs/>
          <w:sz w:val="22"/>
        </w:rPr>
        <w:t>T</w:t>
      </w:r>
      <w:r w:rsidR="001D2AE9" w:rsidRPr="00E37C81">
        <w:rPr>
          <w:rFonts w:asciiTheme="minorHAnsi" w:hAnsiTheme="minorHAnsi"/>
          <w:b w:val="0"/>
          <w:iCs/>
          <w:sz w:val="22"/>
        </w:rPr>
        <w:t xml:space="preserve">his </w:t>
      </w:r>
      <w:r w:rsidRPr="00E37C81">
        <w:rPr>
          <w:rFonts w:asciiTheme="minorHAnsi" w:hAnsiTheme="minorHAnsi"/>
          <w:b w:val="0"/>
          <w:iCs/>
          <w:sz w:val="22"/>
        </w:rPr>
        <w:t xml:space="preserve">provision </w:t>
      </w:r>
      <w:r w:rsidR="001D2AE9" w:rsidRPr="00E37C81">
        <w:rPr>
          <w:rFonts w:asciiTheme="minorHAnsi" w:hAnsiTheme="minorHAnsi"/>
          <w:b w:val="0"/>
          <w:iCs/>
          <w:sz w:val="22"/>
        </w:rPr>
        <w:t>is estimated to cost $360 million over ten years.</w:t>
      </w:r>
    </w:p>
    <w:p w:rsidR="00683E62" w:rsidRPr="00E37C81" w:rsidRDefault="00683E62" w:rsidP="00683E62">
      <w:pPr>
        <w:pStyle w:val="Heading1"/>
        <w:spacing w:before="0" w:line="240" w:lineRule="auto"/>
        <w:rPr>
          <w:rFonts w:asciiTheme="minorHAnsi" w:hAnsiTheme="minorHAnsi"/>
          <w:color w:val="auto"/>
          <w:sz w:val="22"/>
          <w:szCs w:val="22"/>
          <w:u w:val="single"/>
        </w:rPr>
      </w:pPr>
    </w:p>
    <w:p w:rsidR="00360C6D" w:rsidRPr="00E37C81" w:rsidRDefault="00360C6D" w:rsidP="00360C6D">
      <w:pPr>
        <w:pStyle w:val="Heading1"/>
        <w:tabs>
          <w:tab w:val="left" w:pos="360"/>
        </w:tabs>
        <w:rPr>
          <w:szCs w:val="24"/>
        </w:rPr>
      </w:pPr>
      <w:r>
        <w:rPr>
          <w:i/>
          <w:color w:val="auto"/>
          <w:sz w:val="24"/>
          <w:szCs w:val="24"/>
        </w:rPr>
        <w:t>Title V</w:t>
      </w:r>
      <w:r w:rsidRPr="00E37C81">
        <w:rPr>
          <w:i/>
          <w:color w:val="auto"/>
          <w:sz w:val="24"/>
          <w:szCs w:val="24"/>
        </w:rPr>
        <w:t>.</w:t>
      </w:r>
      <w:r>
        <w:rPr>
          <w:i/>
          <w:color w:val="auto"/>
          <w:sz w:val="24"/>
          <w:szCs w:val="24"/>
        </w:rPr>
        <w:t xml:space="preserve"> Unemployment</w:t>
      </w:r>
    </w:p>
    <w:p w:rsidR="00360C6D" w:rsidRDefault="00360C6D" w:rsidP="00360C6D">
      <w:pPr>
        <w:pStyle w:val="NoSpacing"/>
        <w:ind w:left="180"/>
        <w:rPr>
          <w:rFonts w:asciiTheme="minorHAnsi" w:eastAsiaTheme="minorHAnsi" w:hAnsiTheme="minorHAnsi"/>
          <w:sz w:val="22"/>
          <w:szCs w:val="22"/>
        </w:rPr>
      </w:pPr>
    </w:p>
    <w:p w:rsidR="00360C6D" w:rsidRPr="00360C6D" w:rsidRDefault="00360C6D" w:rsidP="00360C6D">
      <w:pPr>
        <w:pStyle w:val="NoSpacing"/>
        <w:ind w:left="180"/>
        <w:rPr>
          <w:rFonts w:asciiTheme="minorHAnsi" w:eastAsiaTheme="minorHAnsi" w:hAnsiTheme="minorHAnsi"/>
          <w:sz w:val="22"/>
          <w:szCs w:val="22"/>
        </w:rPr>
      </w:pPr>
      <w:proofErr w:type="gramStart"/>
      <w:r w:rsidRPr="00D033D5">
        <w:rPr>
          <w:rFonts w:asciiTheme="minorHAnsi" w:eastAsiaTheme="minorHAnsi" w:hAnsiTheme="minorHAnsi"/>
          <w:b/>
          <w:i/>
          <w:sz w:val="22"/>
          <w:szCs w:val="22"/>
        </w:rPr>
        <w:t>Extension of Emergency Unemployment Compensation Program and Extended Benefit Provisions</w:t>
      </w:r>
      <w:r>
        <w:rPr>
          <w:rFonts w:asciiTheme="minorHAnsi" w:eastAsiaTheme="minorHAnsi" w:hAnsiTheme="minorHAnsi"/>
          <w:b/>
          <w:i/>
          <w:sz w:val="22"/>
          <w:szCs w:val="22"/>
        </w:rPr>
        <w:t>.</w:t>
      </w:r>
      <w:proofErr w:type="gramEnd"/>
    </w:p>
    <w:p w:rsidR="00360C6D" w:rsidRDefault="00360C6D" w:rsidP="00360C6D">
      <w:pPr>
        <w:pStyle w:val="NoSpacing"/>
        <w:ind w:left="180"/>
        <w:rPr>
          <w:rFonts w:asciiTheme="minorHAnsi" w:eastAsiaTheme="minorHAnsi" w:hAnsiTheme="minorHAnsi"/>
          <w:sz w:val="22"/>
          <w:szCs w:val="22"/>
        </w:rPr>
      </w:pPr>
      <w:r w:rsidRPr="00360C6D">
        <w:rPr>
          <w:rFonts w:asciiTheme="minorHAnsi" w:eastAsiaTheme="minorHAnsi" w:hAnsiTheme="minorHAnsi"/>
          <w:sz w:val="22"/>
          <w:szCs w:val="22"/>
        </w:rPr>
        <w:t xml:space="preserve">This provision extends for one year the availability of benefits in all tiers of Federal Emergency Unemployment Compensation (EUC).  In </w:t>
      </w:r>
      <w:proofErr w:type="gramStart"/>
      <w:r w:rsidRPr="00360C6D">
        <w:rPr>
          <w:rFonts w:asciiTheme="minorHAnsi" w:eastAsiaTheme="minorHAnsi" w:hAnsiTheme="minorHAnsi"/>
          <w:sz w:val="22"/>
          <w:szCs w:val="22"/>
        </w:rPr>
        <w:t>addition ,</w:t>
      </w:r>
      <w:proofErr w:type="gramEnd"/>
      <w:r w:rsidRPr="00360C6D">
        <w:rPr>
          <w:rFonts w:asciiTheme="minorHAnsi" w:eastAsiaTheme="minorHAnsi" w:hAnsiTheme="minorHAnsi"/>
          <w:sz w:val="22"/>
          <w:szCs w:val="22"/>
        </w:rPr>
        <w:t xml:space="preserve"> this provision continues for one year  the extended benefits (EB) program with a 3-year look-back. </w:t>
      </w:r>
    </w:p>
    <w:p w:rsidR="00360C6D" w:rsidRPr="00D033D5" w:rsidRDefault="00120E02" w:rsidP="00D033D5">
      <w:pPr>
        <w:pStyle w:val="Heading3"/>
        <w:spacing w:before="40"/>
        <w:ind w:left="187"/>
        <w:rPr>
          <w:rFonts w:asciiTheme="minorHAnsi" w:hAnsiTheme="minorHAnsi"/>
          <w:b w:val="0"/>
          <w:iCs/>
          <w:sz w:val="22"/>
        </w:rPr>
      </w:pPr>
      <w:r w:rsidRPr="00E37C81">
        <w:rPr>
          <w:rFonts w:asciiTheme="minorHAnsi" w:hAnsiTheme="minorHAnsi"/>
          <w:b w:val="0"/>
          <w:iCs/>
          <w:sz w:val="22"/>
        </w:rPr>
        <w:t xml:space="preserve">This provision is scored in combination with the two provisions below. Together these provisions are estimated to cost </w:t>
      </w:r>
      <w:r w:rsidR="00360C6D" w:rsidRPr="00D033D5">
        <w:rPr>
          <w:rFonts w:asciiTheme="minorHAnsi" w:hAnsiTheme="minorHAnsi"/>
          <w:b w:val="0"/>
          <w:iCs/>
          <w:sz w:val="22"/>
        </w:rPr>
        <w:t>$</w:t>
      </w:r>
      <w:r>
        <w:rPr>
          <w:rFonts w:asciiTheme="minorHAnsi" w:hAnsiTheme="minorHAnsi"/>
          <w:b w:val="0"/>
          <w:iCs/>
          <w:sz w:val="22"/>
        </w:rPr>
        <w:t>30</w:t>
      </w:r>
      <w:r w:rsidR="00360C6D" w:rsidRPr="00D033D5">
        <w:rPr>
          <w:rFonts w:asciiTheme="minorHAnsi" w:hAnsiTheme="minorHAnsi"/>
          <w:b w:val="0"/>
          <w:iCs/>
          <w:sz w:val="22"/>
        </w:rPr>
        <w:t xml:space="preserve"> billion over ten years.</w:t>
      </w:r>
    </w:p>
    <w:p w:rsidR="00360C6D" w:rsidRPr="00D033D5" w:rsidRDefault="00360C6D" w:rsidP="00360C6D">
      <w:pPr>
        <w:pStyle w:val="NoSpacing"/>
        <w:ind w:left="180"/>
        <w:rPr>
          <w:rFonts w:asciiTheme="minorHAnsi" w:eastAsiaTheme="minorHAnsi" w:hAnsiTheme="minorHAnsi"/>
          <w:sz w:val="28"/>
          <w:szCs w:val="28"/>
        </w:rPr>
      </w:pPr>
    </w:p>
    <w:p w:rsidR="00360C6D" w:rsidRDefault="00360C6D" w:rsidP="00360C6D">
      <w:pPr>
        <w:pStyle w:val="NoSpacing"/>
        <w:ind w:left="180"/>
        <w:rPr>
          <w:rFonts w:asciiTheme="minorHAnsi" w:eastAsiaTheme="minorHAnsi" w:hAnsiTheme="minorHAnsi"/>
          <w:sz w:val="22"/>
          <w:szCs w:val="22"/>
        </w:rPr>
      </w:pPr>
      <w:proofErr w:type="gramStart"/>
      <w:r w:rsidRPr="00D033D5">
        <w:rPr>
          <w:rFonts w:asciiTheme="minorHAnsi" w:eastAsiaTheme="minorHAnsi" w:hAnsiTheme="minorHAnsi"/>
          <w:b/>
          <w:i/>
          <w:sz w:val="22"/>
          <w:szCs w:val="22"/>
        </w:rPr>
        <w:t>Extension of Funding for Reemployment Services and Reemployment and Eligibility Assessment Activities.</w:t>
      </w:r>
      <w:proofErr w:type="gramEnd"/>
      <w:r w:rsidRPr="00360C6D">
        <w:rPr>
          <w:rFonts w:asciiTheme="minorHAnsi" w:eastAsiaTheme="minorHAnsi" w:hAnsiTheme="minorHAnsi"/>
          <w:sz w:val="22"/>
          <w:szCs w:val="22"/>
        </w:rPr>
        <w:t xml:space="preserve"> </w:t>
      </w:r>
      <w:r>
        <w:rPr>
          <w:rFonts w:asciiTheme="minorHAnsi" w:eastAsiaTheme="minorHAnsi" w:hAnsiTheme="minorHAnsi"/>
          <w:sz w:val="22"/>
          <w:szCs w:val="22"/>
        </w:rPr>
        <w:t xml:space="preserve"> </w:t>
      </w:r>
      <w:r w:rsidRPr="00360C6D">
        <w:rPr>
          <w:rFonts w:asciiTheme="minorHAnsi" w:eastAsiaTheme="minorHAnsi" w:hAnsiTheme="minorHAnsi"/>
          <w:sz w:val="22"/>
          <w:szCs w:val="22"/>
        </w:rPr>
        <w:t xml:space="preserve">This provision continues reassessments of unemployment eligibility for the long term unemployed preventing needless overpayments while ensuring that individuals receive the benefits they have earned. Furthermore, the provision continues reemployment services to individuals in order to get people back to work more quickly. </w:t>
      </w:r>
    </w:p>
    <w:p w:rsidR="00360C6D" w:rsidRPr="00360C6D" w:rsidRDefault="00360C6D" w:rsidP="00360C6D">
      <w:pPr>
        <w:pStyle w:val="NoSpacing"/>
        <w:ind w:left="180"/>
        <w:rPr>
          <w:rFonts w:asciiTheme="minorHAnsi" w:eastAsiaTheme="minorHAnsi" w:hAnsiTheme="minorHAnsi"/>
          <w:sz w:val="22"/>
          <w:szCs w:val="22"/>
        </w:rPr>
      </w:pPr>
    </w:p>
    <w:p w:rsidR="00360C6D" w:rsidRPr="00360C6D" w:rsidRDefault="00360C6D" w:rsidP="00360C6D">
      <w:pPr>
        <w:pStyle w:val="NoSpacing"/>
        <w:ind w:left="180"/>
        <w:rPr>
          <w:rFonts w:asciiTheme="minorHAnsi" w:eastAsiaTheme="minorHAnsi" w:hAnsiTheme="minorHAnsi"/>
          <w:sz w:val="22"/>
          <w:szCs w:val="22"/>
        </w:rPr>
      </w:pPr>
      <w:r w:rsidRPr="00D033D5">
        <w:rPr>
          <w:rFonts w:asciiTheme="minorHAnsi" w:eastAsiaTheme="minorHAnsi" w:hAnsiTheme="minorHAnsi"/>
          <w:b/>
          <w:i/>
          <w:sz w:val="22"/>
          <w:szCs w:val="22"/>
        </w:rPr>
        <w:t xml:space="preserve">Extended Unemployment Benefits </w:t>
      </w:r>
      <w:proofErr w:type="gramStart"/>
      <w:r w:rsidRPr="00D033D5">
        <w:rPr>
          <w:rFonts w:asciiTheme="minorHAnsi" w:eastAsiaTheme="minorHAnsi" w:hAnsiTheme="minorHAnsi"/>
          <w:b/>
          <w:i/>
          <w:sz w:val="22"/>
          <w:szCs w:val="22"/>
        </w:rPr>
        <w:t>Under</w:t>
      </w:r>
      <w:proofErr w:type="gramEnd"/>
      <w:r w:rsidRPr="00D033D5">
        <w:rPr>
          <w:rFonts w:asciiTheme="minorHAnsi" w:eastAsiaTheme="minorHAnsi" w:hAnsiTheme="minorHAnsi"/>
          <w:b/>
          <w:i/>
          <w:sz w:val="22"/>
          <w:szCs w:val="22"/>
        </w:rPr>
        <w:t xml:space="preserve"> the Rail</w:t>
      </w:r>
      <w:r w:rsidRPr="00360C6D">
        <w:rPr>
          <w:rFonts w:asciiTheme="minorHAnsi" w:eastAsiaTheme="minorHAnsi" w:hAnsiTheme="minorHAnsi"/>
          <w:b/>
          <w:i/>
          <w:sz w:val="22"/>
          <w:szCs w:val="22"/>
        </w:rPr>
        <w:t>road Unemployment Insurance Act</w:t>
      </w:r>
      <w:r>
        <w:rPr>
          <w:rFonts w:asciiTheme="minorHAnsi" w:eastAsiaTheme="minorHAnsi" w:hAnsiTheme="minorHAnsi"/>
          <w:b/>
          <w:i/>
          <w:sz w:val="22"/>
          <w:szCs w:val="22"/>
        </w:rPr>
        <w:t xml:space="preserve">. </w:t>
      </w:r>
      <w:r w:rsidRPr="00360C6D">
        <w:rPr>
          <w:rFonts w:asciiTheme="minorHAnsi" w:eastAsiaTheme="minorHAnsi" w:hAnsiTheme="minorHAnsi"/>
          <w:sz w:val="22"/>
          <w:szCs w:val="22"/>
        </w:rPr>
        <w:t>This provision permits for a continuation of benefits for railroad workers</w:t>
      </w:r>
      <w:r w:rsidR="00120E02">
        <w:rPr>
          <w:rFonts w:asciiTheme="minorHAnsi" w:eastAsiaTheme="minorHAnsi" w:hAnsiTheme="minorHAnsi"/>
          <w:sz w:val="22"/>
          <w:szCs w:val="22"/>
        </w:rPr>
        <w:t xml:space="preserve"> for one year</w:t>
      </w:r>
      <w:r w:rsidRPr="00360C6D">
        <w:rPr>
          <w:rFonts w:asciiTheme="minorHAnsi" w:eastAsiaTheme="minorHAnsi" w:hAnsiTheme="minorHAnsi"/>
          <w:sz w:val="22"/>
          <w:szCs w:val="22"/>
        </w:rPr>
        <w:t xml:space="preserve">. </w:t>
      </w:r>
    </w:p>
    <w:p w:rsidR="00360C6D" w:rsidRPr="00E37C81" w:rsidRDefault="00360C6D" w:rsidP="00360C6D">
      <w:pPr>
        <w:pStyle w:val="Heading1"/>
        <w:tabs>
          <w:tab w:val="left" w:pos="360"/>
        </w:tabs>
        <w:rPr>
          <w:szCs w:val="24"/>
        </w:rPr>
      </w:pPr>
      <w:r>
        <w:rPr>
          <w:i/>
          <w:color w:val="auto"/>
          <w:sz w:val="24"/>
          <w:szCs w:val="24"/>
        </w:rPr>
        <w:t>Title VI</w:t>
      </w:r>
      <w:r w:rsidRPr="00E37C81">
        <w:rPr>
          <w:i/>
          <w:color w:val="auto"/>
          <w:sz w:val="24"/>
          <w:szCs w:val="24"/>
        </w:rPr>
        <w:t>.</w:t>
      </w:r>
      <w:r>
        <w:rPr>
          <w:i/>
          <w:color w:val="auto"/>
          <w:sz w:val="24"/>
          <w:szCs w:val="24"/>
        </w:rPr>
        <w:t xml:space="preserve"> Medicare and Other Health Extensions</w:t>
      </w:r>
    </w:p>
    <w:p w:rsidR="00D033D5" w:rsidRDefault="00D033D5" w:rsidP="00D033D5">
      <w:pPr>
        <w:spacing w:after="0" w:line="240" w:lineRule="auto"/>
        <w:rPr>
          <w:rFonts w:asciiTheme="minorHAnsi" w:hAnsiTheme="minorHAnsi" w:cstheme="minorHAnsi"/>
          <w:b/>
          <w:sz w:val="22"/>
          <w:u w:val="single"/>
        </w:rPr>
      </w:pPr>
    </w:p>
    <w:p w:rsidR="00D033D5" w:rsidRDefault="00D033D5" w:rsidP="00D033D5">
      <w:pPr>
        <w:spacing w:line="240" w:lineRule="auto"/>
        <w:rPr>
          <w:rFonts w:asciiTheme="minorHAnsi" w:hAnsiTheme="minorHAnsi" w:cstheme="minorHAnsi"/>
          <w:b/>
          <w:sz w:val="22"/>
          <w:u w:val="single"/>
        </w:rPr>
      </w:pPr>
      <w:r>
        <w:rPr>
          <w:rFonts w:asciiTheme="minorHAnsi" w:hAnsiTheme="minorHAnsi" w:cstheme="minorHAnsi"/>
          <w:b/>
          <w:sz w:val="22"/>
          <w:u w:val="single"/>
        </w:rPr>
        <w:t xml:space="preserve">Medicare </w:t>
      </w:r>
      <w:r w:rsidR="00076888">
        <w:rPr>
          <w:rFonts w:asciiTheme="minorHAnsi" w:hAnsiTheme="minorHAnsi" w:cstheme="minorHAnsi"/>
          <w:b/>
          <w:sz w:val="22"/>
          <w:u w:val="single"/>
        </w:rPr>
        <w:t>e</w:t>
      </w:r>
      <w:r>
        <w:rPr>
          <w:rFonts w:asciiTheme="minorHAnsi" w:hAnsiTheme="minorHAnsi" w:cstheme="minorHAnsi"/>
          <w:b/>
          <w:sz w:val="22"/>
          <w:u w:val="single"/>
        </w:rPr>
        <w:t>xtensions</w:t>
      </w:r>
    </w:p>
    <w:p w:rsidR="00D033D5" w:rsidRDefault="00D033D5" w:rsidP="00D033D5">
      <w:pPr>
        <w:spacing w:after="0" w:line="240" w:lineRule="auto"/>
        <w:ind w:left="180"/>
        <w:rPr>
          <w:rFonts w:asciiTheme="minorHAnsi" w:hAnsiTheme="minorHAnsi" w:cstheme="minorHAnsi"/>
          <w:sz w:val="22"/>
          <w:u w:val="single"/>
        </w:rPr>
      </w:pPr>
      <w:proofErr w:type="gramStart"/>
      <w:r w:rsidRPr="00010C77">
        <w:rPr>
          <w:rFonts w:asciiTheme="minorHAnsi" w:hAnsiTheme="minorHAnsi" w:cstheme="minorHAnsi"/>
          <w:b/>
          <w:i/>
          <w:sz w:val="22"/>
        </w:rPr>
        <w:t>Medicare Physician Payment Update</w:t>
      </w:r>
      <w:r w:rsidRPr="00010C77">
        <w:rPr>
          <w:rFonts w:asciiTheme="minorHAnsi" w:hAnsiTheme="minorHAnsi" w:cstheme="minorHAnsi"/>
          <w:sz w:val="22"/>
        </w:rPr>
        <w:t>.</w:t>
      </w:r>
      <w:proofErr w:type="gramEnd"/>
      <w:r w:rsidRPr="00D033D5">
        <w:rPr>
          <w:rFonts w:asciiTheme="minorHAnsi" w:hAnsiTheme="minorHAnsi" w:cstheme="minorHAnsi"/>
          <w:sz w:val="22"/>
          <w:u w:val="single"/>
        </w:rPr>
        <w:t xml:space="preserve">  </w:t>
      </w:r>
      <w:r w:rsidRPr="00D033D5">
        <w:rPr>
          <w:rFonts w:asciiTheme="minorHAnsi" w:hAnsiTheme="minorHAnsi" w:cstheme="minorHAnsi"/>
          <w:sz w:val="22"/>
        </w:rPr>
        <w:t>This provision guarantees seniors have continued access to their doctors by fixing the Sustainable Growth Rate (SGR) through the end of 2013.  Medicare physician payment rates are scheduled to be reduced by 26.5 percent on December 31, 2012.  This provision would avoid that reduction and extend current Medicare payment rates through December 31, 2013.</w:t>
      </w:r>
      <w:r w:rsidRPr="00D033D5">
        <w:rPr>
          <w:rFonts w:asciiTheme="minorHAnsi" w:hAnsiTheme="minorHAnsi" w:cstheme="minorHAnsi"/>
          <w:sz w:val="22"/>
          <w:u w:val="single"/>
        </w:rPr>
        <w:t xml:space="preserve">  </w:t>
      </w:r>
    </w:p>
    <w:p w:rsidR="00D033D5" w:rsidRDefault="00D033D5" w:rsidP="00D033D5">
      <w:pPr>
        <w:pStyle w:val="Heading3"/>
        <w:spacing w:before="40"/>
        <w:ind w:left="187"/>
        <w:rPr>
          <w:rFonts w:asciiTheme="minorHAnsi" w:hAnsiTheme="minorHAnsi"/>
          <w:b w:val="0"/>
          <w:iCs/>
          <w:sz w:val="22"/>
        </w:rPr>
      </w:pPr>
      <w:r w:rsidRPr="00E37C81">
        <w:rPr>
          <w:rFonts w:asciiTheme="minorHAnsi" w:hAnsiTheme="minorHAnsi"/>
          <w:b w:val="0"/>
          <w:iCs/>
          <w:sz w:val="22"/>
        </w:rPr>
        <w:t xml:space="preserve">A score for this provision </w:t>
      </w:r>
      <w:r>
        <w:rPr>
          <w:rFonts w:asciiTheme="minorHAnsi" w:hAnsiTheme="minorHAnsi"/>
          <w:b w:val="0"/>
          <w:iCs/>
          <w:sz w:val="22"/>
        </w:rPr>
        <w:t>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r w:rsidRPr="00010C77">
        <w:rPr>
          <w:rFonts w:asciiTheme="minorHAnsi" w:hAnsiTheme="minorHAnsi" w:cstheme="minorHAnsi"/>
          <w:b/>
          <w:i/>
          <w:sz w:val="22"/>
        </w:rPr>
        <w:t>Work Geographic Adjustment</w:t>
      </w:r>
      <w:r w:rsidRPr="00010C77">
        <w:rPr>
          <w:rFonts w:asciiTheme="minorHAnsi" w:hAnsiTheme="minorHAnsi" w:cstheme="minorHAnsi"/>
          <w:sz w:val="22"/>
        </w:rPr>
        <w:t>.</w:t>
      </w:r>
      <w:r w:rsidRPr="00D033D5">
        <w:rPr>
          <w:rFonts w:asciiTheme="minorHAnsi" w:hAnsiTheme="minorHAnsi" w:cstheme="minorHAnsi"/>
          <w:sz w:val="22"/>
          <w:u w:val="single"/>
        </w:rPr>
        <w:t xml:space="preserve"> </w:t>
      </w:r>
      <w:r w:rsidRPr="00D033D5">
        <w:rPr>
          <w:rFonts w:asciiTheme="minorHAnsi" w:hAnsiTheme="minorHAnsi" w:cstheme="minorHAnsi"/>
          <w:sz w:val="22"/>
        </w:rPr>
        <w:t xml:space="preserve">Under current law, the Medicare fee schedule is adjusted geographically for three factors to reflect differences in the cost of resources needed to produce physician services: physician work, practice expense, and medical malpractice insurance.  This provision extends the existing 1.0 floor on the “physician work” index through December 31, 2013.  </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Payment for Outpatient Therapy Services</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Current law places annual per beneficiary payment limits of $1,880 for all outpatient therapy services provided by non-hospital providers, but includes an exceptions process for cases in which the provision of additional therapy services is determined to be medically necessary.  This provision extends the exception process through December 31, 2013.  The provision also extends the cap to services received in hospital outpatient departments only through December 31, 2013.  </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Ambulance Add-On Payments</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Under current law, ground ambulance transports receive add-</w:t>
      </w:r>
      <w:proofErr w:type="gramStart"/>
      <w:r w:rsidRPr="00D033D5">
        <w:rPr>
          <w:rFonts w:asciiTheme="minorHAnsi" w:hAnsiTheme="minorHAnsi" w:cstheme="minorHAnsi"/>
          <w:sz w:val="22"/>
        </w:rPr>
        <w:t>on  to</w:t>
      </w:r>
      <w:proofErr w:type="gramEnd"/>
      <w:r w:rsidRPr="00D033D5">
        <w:rPr>
          <w:rFonts w:asciiTheme="minorHAnsi" w:hAnsiTheme="minorHAnsi" w:cstheme="minorHAnsi"/>
          <w:sz w:val="22"/>
        </w:rPr>
        <w:t xml:space="preserve"> their base rate payments of 2% for urban providers, 3% for rural providers, and 22.6% for super-rural providers.  The air ambulance temporary payment policy maintains rural designation for application of rural air ambulance add-on for areas reclassified as urban by OMB in 2006.  This provision extends the add-on payment for ground including in super rural areas, through December 31, 2013, and the air ambulance add-on until June 30, 2013.  </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Extension of Medicare inpatient hospital payment adjustment for low-volume hospitals</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Qualifying low-volume hospitals receive add-on payments based on the number of Medicare discharges.  To qualify, the hospital must have less than 1,600 Medicare discharges and be 15 miles or greater from the nearest like hospital.  This provision extends the payment adjustment until December 31, 2013.  </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Extension of the Medicare-Dependent hospital (MDH) program</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The Medicare Dependent Hospital (MDH) program provides enhanced reimbursement to support rural health infrastructure and to support small rural hospitals for which Medicare patients make up a significant percentage of inpatient days or discharges. This greater dependence on Medicare may make these hospitals more financially vulnerable to prospective payment, and the MDH designation is designed to reduce this risk. This provision extends the MDH program until October 1, 2013.</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r w:rsidRPr="00D033D5">
        <w:rPr>
          <w:rFonts w:asciiTheme="minorHAnsi" w:hAnsiTheme="minorHAnsi" w:cstheme="minorHAnsi"/>
          <w:b/>
          <w:i/>
          <w:sz w:val="22"/>
        </w:rPr>
        <w:t>Extension for specialized Medicare Advantage plans for special needs individuals</w:t>
      </w:r>
      <w:r w:rsidRPr="00D033D5">
        <w:rPr>
          <w:rFonts w:asciiTheme="minorHAnsi" w:hAnsiTheme="minorHAnsi" w:cstheme="minorHAnsi"/>
          <w:sz w:val="22"/>
        </w:rPr>
        <w:t>.  Extends the authority of specialize plans to target enrollment to certain populations through 2015.</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Extension of Medicare Reasonable Cost Contracts</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This provision allows Medicare cost plans to continue to operate through 2014 in an area where at least two Medicare Advantage coordinated care plans operate.  </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Performance Improvement</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Under the Medicare Improvement for Patients and Providers Act of 2008, HHS entered into a five year contract with a consensus-based entity for certain activities relating to health care performance.  This provision continues this funding through 2013. This provision also requires HHS to develop a strategy for providing data on performance improvement in a timely manner.</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Extension of funding outreach and assistance for low-income programs</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This provision extends the funding for one year for State Hea</w:t>
      </w:r>
      <w:r w:rsidR="00076888">
        <w:rPr>
          <w:rFonts w:asciiTheme="minorHAnsi" w:hAnsiTheme="minorHAnsi" w:cstheme="minorHAnsi"/>
          <w:sz w:val="22"/>
        </w:rPr>
        <w:t>l</w:t>
      </w:r>
      <w:r w:rsidRPr="00D033D5">
        <w:rPr>
          <w:rFonts w:asciiTheme="minorHAnsi" w:hAnsiTheme="minorHAnsi" w:cstheme="minorHAnsi"/>
          <w:sz w:val="22"/>
        </w:rPr>
        <w:t>th Insurance Counseling Programs (SHIPs), Area Agencies on Aging (AAAs), Aging and Disability Resource Centers (ADRCs), and The National Center for Benefits Outreach and Enrollment.</w:t>
      </w:r>
    </w:p>
    <w:p w:rsidR="00D033D5" w:rsidRPr="00D033D5" w:rsidRDefault="00D033D5" w:rsidP="00D033D5">
      <w:pPr>
        <w:pStyle w:val="Heading3"/>
        <w:spacing w:before="40"/>
        <w:ind w:left="187"/>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line="240" w:lineRule="auto"/>
        <w:rPr>
          <w:rFonts w:asciiTheme="minorHAnsi" w:hAnsiTheme="minorHAnsi" w:cstheme="minorHAnsi"/>
          <w:b/>
          <w:sz w:val="22"/>
        </w:rPr>
      </w:pPr>
      <w:r w:rsidRPr="00D033D5">
        <w:rPr>
          <w:rFonts w:asciiTheme="minorHAnsi" w:hAnsiTheme="minorHAnsi" w:cstheme="minorHAnsi"/>
          <w:sz w:val="22"/>
        </w:rPr>
        <w:t xml:space="preserve">  </w:t>
      </w:r>
    </w:p>
    <w:p w:rsidR="00D033D5" w:rsidRDefault="00D033D5" w:rsidP="00D033D5">
      <w:pPr>
        <w:spacing w:line="240" w:lineRule="auto"/>
        <w:rPr>
          <w:rFonts w:asciiTheme="minorHAnsi" w:hAnsiTheme="minorHAnsi" w:cstheme="minorHAnsi"/>
          <w:b/>
          <w:sz w:val="22"/>
          <w:u w:val="single"/>
        </w:rPr>
      </w:pPr>
      <w:r>
        <w:rPr>
          <w:rFonts w:asciiTheme="minorHAnsi" w:hAnsiTheme="minorHAnsi" w:cstheme="minorHAnsi"/>
          <w:b/>
          <w:sz w:val="22"/>
          <w:u w:val="single"/>
        </w:rPr>
        <w:t xml:space="preserve">Other </w:t>
      </w:r>
      <w:r w:rsidR="00076888">
        <w:rPr>
          <w:rFonts w:asciiTheme="minorHAnsi" w:hAnsiTheme="minorHAnsi" w:cstheme="minorHAnsi"/>
          <w:b/>
          <w:sz w:val="22"/>
          <w:u w:val="single"/>
        </w:rPr>
        <w:t>health p</w:t>
      </w:r>
      <w:r>
        <w:rPr>
          <w:rFonts w:asciiTheme="minorHAnsi" w:hAnsiTheme="minorHAnsi" w:cstheme="minorHAnsi"/>
          <w:b/>
          <w:sz w:val="22"/>
          <w:u w:val="single"/>
        </w:rPr>
        <w:t>rovisions</w:t>
      </w: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Extension of the Qualifying Individual Program</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The Qualifying Individual (QI) program allows Medicaid to pay the Medicare Part B premiums for low-income Medicare beneficiaries with incomes between 120 percent and 135 percent of poverty.  Under current law, QI expires December 31, 2012.  This provision extends the QI program until December 31, 2013. </w:t>
      </w:r>
    </w:p>
    <w:p w:rsidR="00D033D5" w:rsidRP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ind w:left="180"/>
      </w:pPr>
    </w:p>
    <w:p w:rsidR="00D033D5" w:rsidRPr="00D033D5" w:rsidRDefault="00D033D5" w:rsidP="00D033D5">
      <w:pPr>
        <w:spacing w:after="0" w:line="240" w:lineRule="auto"/>
        <w:ind w:left="180"/>
        <w:rPr>
          <w:rFonts w:asciiTheme="minorHAnsi" w:hAnsiTheme="minorHAnsi" w:cstheme="minorHAnsi"/>
          <w:sz w:val="22"/>
        </w:rPr>
      </w:pPr>
      <w:proofErr w:type="gramStart"/>
      <w:r w:rsidRPr="00D033D5">
        <w:rPr>
          <w:rFonts w:asciiTheme="minorHAnsi" w:hAnsiTheme="minorHAnsi" w:cstheme="minorHAnsi"/>
          <w:b/>
          <w:i/>
          <w:sz w:val="22"/>
        </w:rPr>
        <w:t>Extension of Transitional Medical Assistance</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Transitional Medical Assistance (TMA) allows low-income families to maintain their Medicaid coverage as they transition into employment and increase their earnings.  Under current law, TMA expires December 31, 2012.  This provision extends TMA until December 31, 2013.  </w:t>
      </w:r>
    </w:p>
    <w:p w:rsidR="00D033D5" w:rsidRP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ind w:left="180"/>
      </w:pPr>
    </w:p>
    <w:p w:rsidR="00D033D5" w:rsidRPr="00D033D5" w:rsidRDefault="00D033D5" w:rsidP="00D033D5">
      <w:pPr>
        <w:spacing w:after="0" w:line="240" w:lineRule="auto"/>
        <w:ind w:left="180"/>
        <w:rPr>
          <w:rFonts w:asciiTheme="minorHAnsi" w:hAnsiTheme="minorHAnsi" w:cstheme="minorHAnsi"/>
          <w:sz w:val="22"/>
        </w:rPr>
      </w:pPr>
      <w:proofErr w:type="gramStart"/>
      <w:r w:rsidRPr="00076888">
        <w:rPr>
          <w:rFonts w:asciiTheme="minorHAnsi" w:hAnsiTheme="minorHAnsi" w:cstheme="minorHAnsi"/>
          <w:b/>
          <w:i/>
          <w:sz w:val="22"/>
        </w:rPr>
        <w:t>Extension of Medicaid and CHIP Express Lane option</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The CHIP Reauthorization Act of 2009 created a new option that allows state Medicaid and CHIP offices to rely on data from other state offices, like SNAP and school lunch programs, in making income eligibility determinations for children, called Express Lane Eligibility (ELE).  The authority to use ELE expires on September 30, 2013.  This provision would extend ELE authority through September 30, 2014. </w:t>
      </w:r>
    </w:p>
    <w:p w:rsidR="00D033D5" w:rsidRP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ind w:left="180"/>
      </w:pPr>
    </w:p>
    <w:p w:rsidR="00D033D5" w:rsidRPr="00D033D5" w:rsidRDefault="00D033D5" w:rsidP="00D033D5">
      <w:pPr>
        <w:spacing w:after="0" w:line="240" w:lineRule="auto"/>
        <w:ind w:left="180"/>
        <w:rPr>
          <w:rFonts w:asciiTheme="minorHAnsi" w:hAnsiTheme="minorHAnsi" w:cstheme="minorHAnsi"/>
          <w:sz w:val="22"/>
        </w:rPr>
      </w:pPr>
      <w:proofErr w:type="gramStart"/>
      <w:r w:rsidRPr="00076888">
        <w:rPr>
          <w:rFonts w:asciiTheme="minorHAnsi" w:hAnsiTheme="minorHAnsi" w:cstheme="minorHAnsi"/>
          <w:b/>
          <w:i/>
          <w:sz w:val="22"/>
        </w:rPr>
        <w:t>Extension of Family-to-Family Health Information Centers</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This provision continues the Family to Family Health Information Centers (F2F HIC) to assist families of children/youth with special health care needs in making informed choices about health care in order to promote good treatment decisions, cost-effectiveness and improved health outcomes.  This provision will help families navigate the health care system so that their children can get the care and benefits they need through Medicaid, SCHIP, </w:t>
      </w:r>
      <w:proofErr w:type="gramStart"/>
      <w:r w:rsidRPr="00D033D5">
        <w:rPr>
          <w:rFonts w:asciiTheme="minorHAnsi" w:hAnsiTheme="minorHAnsi" w:cstheme="minorHAnsi"/>
          <w:sz w:val="22"/>
        </w:rPr>
        <w:t>SSI</w:t>
      </w:r>
      <w:proofErr w:type="gramEnd"/>
      <w:r w:rsidRPr="00D033D5">
        <w:rPr>
          <w:rFonts w:asciiTheme="minorHAnsi" w:hAnsiTheme="minorHAnsi" w:cstheme="minorHAnsi"/>
          <w:sz w:val="22"/>
        </w:rPr>
        <w:t>, early intervention services, private insurance and other programs.  In addition, F2F HICs provide leadership and training for health care providers and policymakers to promote family-centered “medical home” for every child. There is one F2F HIC in every state and the District of Columbia.   The total cost of this provision is $5 million per year.</w:t>
      </w:r>
    </w:p>
    <w:p w:rsidR="00D033D5" w:rsidRP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provision will be provided by the Congressional Budget Office</w:t>
      </w:r>
    </w:p>
    <w:p w:rsidR="00D033D5" w:rsidRPr="00D033D5" w:rsidRDefault="00D033D5" w:rsidP="00D033D5">
      <w:pPr>
        <w:spacing w:after="0"/>
        <w:ind w:left="180"/>
      </w:pPr>
    </w:p>
    <w:p w:rsidR="00D033D5" w:rsidRPr="00D033D5" w:rsidRDefault="00D033D5" w:rsidP="00D033D5">
      <w:pPr>
        <w:spacing w:after="0" w:line="240" w:lineRule="auto"/>
        <w:ind w:left="180"/>
        <w:rPr>
          <w:rFonts w:asciiTheme="minorHAnsi" w:hAnsiTheme="minorHAnsi" w:cstheme="minorHAnsi"/>
          <w:sz w:val="22"/>
        </w:rPr>
      </w:pPr>
      <w:proofErr w:type="gramStart"/>
      <w:r w:rsidRPr="00076888">
        <w:rPr>
          <w:rFonts w:asciiTheme="minorHAnsi" w:hAnsiTheme="minorHAnsi" w:cstheme="minorHAnsi"/>
          <w:b/>
          <w:i/>
          <w:sz w:val="22"/>
        </w:rPr>
        <w:t>Extension of Special Diabetes Program for Type 1 diabetes and for Indians</w:t>
      </w:r>
      <w:r w:rsidRPr="00D033D5">
        <w:rPr>
          <w:rFonts w:asciiTheme="minorHAnsi" w:hAnsiTheme="minorHAnsi" w:cstheme="minorHAnsi"/>
          <w:sz w:val="22"/>
        </w:rPr>
        <w:t>.</w:t>
      </w:r>
      <w:proofErr w:type="gramEnd"/>
      <w:r w:rsidRPr="00D033D5">
        <w:rPr>
          <w:rFonts w:asciiTheme="minorHAnsi" w:hAnsiTheme="minorHAnsi" w:cstheme="minorHAnsi"/>
          <w:sz w:val="22"/>
        </w:rPr>
        <w:t xml:space="preserve"> Funds research for type I diabetes and supports diabetes treatment and prevention initiatives for American Indians and Alaska Natives.  The Special Diabetes Program (SDP) expires at the end of 2013, but early reauthorization is critical to the continuation of the existing research initiatives.  This provision would extend the SDP for one year.  </w:t>
      </w:r>
    </w:p>
    <w:p w:rsid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w:t>
      </w:r>
      <w:r w:rsidRPr="00E37C81">
        <w:rPr>
          <w:rFonts w:asciiTheme="minorHAnsi" w:hAnsiTheme="minorHAnsi"/>
          <w:b w:val="0"/>
          <w:iCs/>
          <w:sz w:val="22"/>
        </w:rPr>
        <w:t xml:space="preserve">on </w:t>
      </w:r>
      <w:r>
        <w:rPr>
          <w:rFonts w:asciiTheme="minorHAnsi" w:hAnsiTheme="minorHAnsi"/>
          <w:b w:val="0"/>
          <w:iCs/>
          <w:sz w:val="22"/>
        </w:rPr>
        <w:t>will be provided by the Congressional Budget Office</w:t>
      </w:r>
    </w:p>
    <w:p w:rsidR="00D033D5" w:rsidRPr="00E37C81" w:rsidRDefault="00D033D5" w:rsidP="00D033D5">
      <w:pPr>
        <w:pStyle w:val="Heading1"/>
        <w:tabs>
          <w:tab w:val="left" w:pos="360"/>
        </w:tabs>
        <w:rPr>
          <w:szCs w:val="24"/>
        </w:rPr>
      </w:pPr>
      <w:r>
        <w:rPr>
          <w:i/>
          <w:color w:val="auto"/>
          <w:sz w:val="24"/>
          <w:szCs w:val="24"/>
        </w:rPr>
        <w:t>Title VII</w:t>
      </w:r>
      <w:r w:rsidRPr="00E37C81">
        <w:rPr>
          <w:i/>
          <w:color w:val="auto"/>
          <w:sz w:val="24"/>
          <w:szCs w:val="24"/>
        </w:rPr>
        <w:t>.</w:t>
      </w:r>
      <w:r>
        <w:rPr>
          <w:i/>
          <w:color w:val="auto"/>
          <w:sz w:val="24"/>
          <w:szCs w:val="24"/>
        </w:rPr>
        <w:t xml:space="preserve"> Extension of Agricultural Programs</w:t>
      </w:r>
    </w:p>
    <w:p w:rsidR="00D033D5" w:rsidRDefault="00D033D5" w:rsidP="00D033D5">
      <w:pPr>
        <w:pStyle w:val="BodyTextIndent"/>
        <w:ind w:left="180" w:firstLine="0"/>
        <w:rPr>
          <w:rFonts w:asciiTheme="minorHAnsi" w:hAnsiTheme="minorHAnsi" w:cstheme="minorHAnsi"/>
          <w:b/>
          <w:i/>
          <w:sz w:val="22"/>
          <w:szCs w:val="22"/>
        </w:rPr>
      </w:pPr>
    </w:p>
    <w:p w:rsidR="00D033D5" w:rsidRDefault="00D033D5" w:rsidP="00D033D5">
      <w:pPr>
        <w:pStyle w:val="BodyTextIndent"/>
        <w:ind w:left="180" w:firstLine="0"/>
        <w:rPr>
          <w:rFonts w:asciiTheme="minorHAnsi" w:hAnsiTheme="minorHAnsi" w:cstheme="minorHAnsi"/>
          <w:sz w:val="22"/>
          <w:szCs w:val="22"/>
        </w:rPr>
      </w:pPr>
      <w:proofErr w:type="gramStart"/>
      <w:r w:rsidRPr="00A87DB4">
        <w:rPr>
          <w:rFonts w:asciiTheme="minorHAnsi" w:hAnsiTheme="minorHAnsi" w:cstheme="minorHAnsi"/>
          <w:b/>
          <w:i/>
          <w:sz w:val="22"/>
          <w:szCs w:val="22"/>
        </w:rPr>
        <w:t>Farm Bill</w:t>
      </w:r>
      <w:r w:rsidRPr="007E47F8">
        <w:rPr>
          <w:rFonts w:asciiTheme="minorHAnsi" w:hAnsiTheme="minorHAnsi" w:cstheme="minorHAnsi"/>
          <w:sz w:val="22"/>
          <w:szCs w:val="22"/>
        </w:rPr>
        <w:t>.</w:t>
      </w:r>
      <w:proofErr w:type="gramEnd"/>
      <w:r w:rsidRPr="007E47F8">
        <w:rPr>
          <w:rFonts w:asciiTheme="minorHAnsi" w:hAnsiTheme="minorHAnsi" w:cstheme="minorHAnsi"/>
          <w:sz w:val="22"/>
          <w:szCs w:val="22"/>
        </w:rPr>
        <w:t xml:space="preserve"> The 2008 Farm Bill is extended until September 30, 2013 for all </w:t>
      </w:r>
      <w:r>
        <w:rPr>
          <w:rFonts w:asciiTheme="minorHAnsi" w:hAnsiTheme="minorHAnsi" w:cstheme="minorHAnsi"/>
          <w:sz w:val="22"/>
          <w:szCs w:val="22"/>
        </w:rPr>
        <w:t xml:space="preserve">currently funded </w:t>
      </w:r>
      <w:r w:rsidRPr="007E47F8">
        <w:rPr>
          <w:rFonts w:asciiTheme="minorHAnsi" w:hAnsiTheme="minorHAnsi" w:cstheme="minorHAnsi"/>
          <w:sz w:val="22"/>
          <w:szCs w:val="22"/>
        </w:rPr>
        <w:t>programs.</w:t>
      </w:r>
    </w:p>
    <w:p w:rsid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w:t>
      </w:r>
      <w:r w:rsidRPr="00E37C81">
        <w:rPr>
          <w:rFonts w:asciiTheme="minorHAnsi" w:hAnsiTheme="minorHAnsi"/>
          <w:b w:val="0"/>
          <w:iCs/>
          <w:sz w:val="22"/>
        </w:rPr>
        <w:t xml:space="preserve">on </w:t>
      </w:r>
      <w:r>
        <w:rPr>
          <w:rFonts w:asciiTheme="minorHAnsi" w:hAnsiTheme="minorHAnsi"/>
          <w:b w:val="0"/>
          <w:iCs/>
          <w:sz w:val="22"/>
        </w:rPr>
        <w:t>will be provided by the Congressional Budget Office</w:t>
      </w:r>
    </w:p>
    <w:p w:rsidR="00D033D5" w:rsidRDefault="00D033D5" w:rsidP="00D033D5">
      <w:pPr>
        <w:spacing w:after="0" w:line="240" w:lineRule="auto"/>
        <w:rPr>
          <w:rFonts w:asciiTheme="minorHAnsi" w:hAnsiTheme="minorHAnsi" w:cstheme="minorHAnsi"/>
          <w:sz w:val="22"/>
          <w:u w:val="single"/>
        </w:rPr>
      </w:pPr>
    </w:p>
    <w:p w:rsidR="00D033D5" w:rsidRPr="00E37C81" w:rsidRDefault="00D033D5" w:rsidP="00D033D5">
      <w:pPr>
        <w:pStyle w:val="Heading1"/>
        <w:tabs>
          <w:tab w:val="left" w:pos="360"/>
        </w:tabs>
        <w:rPr>
          <w:szCs w:val="24"/>
        </w:rPr>
      </w:pPr>
      <w:r>
        <w:rPr>
          <w:i/>
          <w:color w:val="auto"/>
          <w:sz w:val="24"/>
          <w:szCs w:val="24"/>
        </w:rPr>
        <w:t>Title IX</w:t>
      </w:r>
      <w:r w:rsidRPr="00E37C81">
        <w:rPr>
          <w:i/>
          <w:color w:val="auto"/>
          <w:sz w:val="24"/>
          <w:szCs w:val="24"/>
        </w:rPr>
        <w:t>.</w:t>
      </w:r>
      <w:r>
        <w:rPr>
          <w:i/>
          <w:color w:val="auto"/>
          <w:sz w:val="24"/>
          <w:szCs w:val="24"/>
        </w:rPr>
        <w:t xml:space="preserve"> Miscellaneous Provisions</w:t>
      </w:r>
    </w:p>
    <w:p w:rsidR="00D033D5" w:rsidRDefault="00D033D5" w:rsidP="00D033D5">
      <w:pPr>
        <w:spacing w:after="0" w:line="240" w:lineRule="auto"/>
        <w:ind w:left="180"/>
        <w:rPr>
          <w:rFonts w:asciiTheme="minorHAnsi" w:hAnsiTheme="minorHAnsi" w:cstheme="minorHAnsi"/>
          <w:b/>
          <w:i/>
          <w:sz w:val="22"/>
          <w:u w:val="single"/>
        </w:rPr>
      </w:pPr>
    </w:p>
    <w:p w:rsidR="00D033D5" w:rsidRPr="00076888" w:rsidRDefault="00D033D5" w:rsidP="00D033D5">
      <w:pPr>
        <w:spacing w:after="0" w:line="240" w:lineRule="auto"/>
        <w:ind w:left="180"/>
        <w:rPr>
          <w:rFonts w:asciiTheme="minorHAnsi" w:hAnsiTheme="minorHAnsi" w:cstheme="minorHAnsi"/>
          <w:b/>
          <w:i/>
          <w:sz w:val="22"/>
        </w:rPr>
      </w:pPr>
      <w:bookmarkStart w:id="0" w:name="_GoBack"/>
      <w:proofErr w:type="gramStart"/>
      <w:r w:rsidRPr="00877A68">
        <w:rPr>
          <w:rFonts w:asciiTheme="minorHAnsi" w:hAnsiTheme="minorHAnsi" w:cstheme="minorHAnsi"/>
          <w:b/>
          <w:i/>
          <w:sz w:val="22"/>
        </w:rPr>
        <w:t>S</w:t>
      </w:r>
      <w:r w:rsidR="00076888" w:rsidRPr="00877A68">
        <w:rPr>
          <w:rFonts w:asciiTheme="minorHAnsi" w:hAnsiTheme="minorHAnsi" w:cstheme="minorHAnsi"/>
          <w:b/>
          <w:i/>
          <w:sz w:val="22"/>
        </w:rPr>
        <w:t>t</w:t>
      </w:r>
      <w:bookmarkEnd w:id="0"/>
      <w:r w:rsidR="00076888">
        <w:rPr>
          <w:rFonts w:asciiTheme="minorHAnsi" w:hAnsiTheme="minorHAnsi" w:cstheme="minorHAnsi"/>
          <w:b/>
          <w:i/>
          <w:sz w:val="22"/>
        </w:rPr>
        <w:t>rategic Delivery Systems.</w:t>
      </w:r>
      <w:proofErr w:type="gramEnd"/>
    </w:p>
    <w:p w:rsid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w:t>
      </w:r>
      <w:r w:rsidRPr="00E37C81">
        <w:rPr>
          <w:rFonts w:asciiTheme="minorHAnsi" w:hAnsiTheme="minorHAnsi"/>
          <w:b w:val="0"/>
          <w:iCs/>
          <w:sz w:val="22"/>
        </w:rPr>
        <w:t xml:space="preserve">on </w:t>
      </w:r>
      <w:r>
        <w:rPr>
          <w:rFonts w:asciiTheme="minorHAnsi" w:hAnsiTheme="minorHAnsi"/>
          <w:b w:val="0"/>
          <w:iCs/>
          <w:sz w:val="22"/>
        </w:rPr>
        <w:t>will be provided by the Congressional Budget Office</w:t>
      </w:r>
    </w:p>
    <w:p w:rsidR="00D033D5" w:rsidRDefault="00D033D5" w:rsidP="00D033D5">
      <w:pPr>
        <w:spacing w:after="0" w:line="240" w:lineRule="auto"/>
        <w:ind w:left="180"/>
        <w:rPr>
          <w:rFonts w:asciiTheme="minorHAnsi" w:hAnsiTheme="minorHAnsi" w:cstheme="minorHAnsi"/>
          <w:b/>
          <w:i/>
          <w:sz w:val="22"/>
          <w:u w:val="single"/>
        </w:rPr>
      </w:pPr>
    </w:p>
    <w:p w:rsidR="00D033D5" w:rsidRPr="00010C77" w:rsidRDefault="00D033D5" w:rsidP="00D033D5">
      <w:pPr>
        <w:spacing w:after="0" w:line="240" w:lineRule="auto"/>
        <w:ind w:left="180"/>
        <w:rPr>
          <w:rFonts w:asciiTheme="minorHAnsi" w:hAnsiTheme="minorHAnsi" w:cstheme="minorHAnsi"/>
          <w:sz w:val="22"/>
        </w:rPr>
      </w:pPr>
      <w:r w:rsidRPr="00010C77">
        <w:rPr>
          <w:rFonts w:asciiTheme="minorHAnsi" w:hAnsiTheme="minorHAnsi" w:cstheme="minorHAnsi"/>
          <w:b/>
          <w:i/>
          <w:sz w:val="22"/>
        </w:rPr>
        <w:t>Pay Freeze for Members of Congress</w:t>
      </w:r>
      <w:r w:rsidRPr="00010C77">
        <w:rPr>
          <w:rFonts w:asciiTheme="minorHAnsi" w:hAnsiTheme="minorHAnsi" w:cstheme="minorHAnsi"/>
          <w:sz w:val="22"/>
        </w:rPr>
        <w:t>. This provision clarifies that no cost of living adjustment is made for the salaries of Members of Congress for fiscal year 2013.</w:t>
      </w:r>
    </w:p>
    <w:p w:rsidR="00D033D5" w:rsidRDefault="00D033D5" w:rsidP="00D033D5">
      <w:pPr>
        <w:pStyle w:val="Heading3"/>
        <w:spacing w:before="40"/>
        <w:ind w:left="180"/>
        <w:rPr>
          <w:rFonts w:asciiTheme="minorHAnsi" w:hAnsiTheme="minorHAnsi"/>
          <w:b w:val="0"/>
          <w:iCs/>
          <w:sz w:val="22"/>
        </w:rPr>
      </w:pPr>
      <w:r w:rsidRPr="00D033D5">
        <w:rPr>
          <w:rFonts w:asciiTheme="minorHAnsi" w:hAnsiTheme="minorHAnsi"/>
          <w:b w:val="0"/>
          <w:iCs/>
          <w:sz w:val="22"/>
        </w:rPr>
        <w:t>A score for this provisi</w:t>
      </w:r>
      <w:r w:rsidRPr="00E37C81">
        <w:rPr>
          <w:rFonts w:asciiTheme="minorHAnsi" w:hAnsiTheme="minorHAnsi"/>
          <w:b w:val="0"/>
          <w:iCs/>
          <w:sz w:val="22"/>
        </w:rPr>
        <w:t xml:space="preserve">on </w:t>
      </w:r>
      <w:r>
        <w:rPr>
          <w:rFonts w:asciiTheme="minorHAnsi" w:hAnsiTheme="minorHAnsi"/>
          <w:b w:val="0"/>
          <w:iCs/>
          <w:sz w:val="22"/>
        </w:rPr>
        <w:t>will be provided by the Congressional Budget Office</w:t>
      </w:r>
    </w:p>
    <w:p w:rsidR="00D033D5" w:rsidRPr="00D033D5" w:rsidRDefault="00D033D5" w:rsidP="00D033D5">
      <w:pPr>
        <w:spacing w:after="0" w:line="240" w:lineRule="auto"/>
        <w:ind w:left="180"/>
        <w:rPr>
          <w:rFonts w:asciiTheme="minorHAnsi" w:hAnsiTheme="minorHAnsi" w:cstheme="minorHAnsi"/>
          <w:sz w:val="22"/>
          <w:u w:val="single"/>
        </w:rPr>
      </w:pPr>
    </w:p>
    <w:p w:rsidR="00EC73CC" w:rsidRPr="00E37C81" w:rsidRDefault="00CE04A9" w:rsidP="00EC73CC">
      <w:pPr>
        <w:pStyle w:val="Heading1"/>
        <w:tabs>
          <w:tab w:val="left" w:pos="360"/>
        </w:tabs>
        <w:rPr>
          <w:szCs w:val="24"/>
        </w:rPr>
      </w:pPr>
      <w:r>
        <w:rPr>
          <w:i/>
          <w:color w:val="auto"/>
          <w:sz w:val="24"/>
          <w:szCs w:val="24"/>
        </w:rPr>
        <w:t>Title X</w:t>
      </w:r>
      <w:r w:rsidR="00EC73CC" w:rsidRPr="00E37C81">
        <w:rPr>
          <w:i/>
          <w:color w:val="auto"/>
          <w:sz w:val="24"/>
          <w:szCs w:val="24"/>
        </w:rPr>
        <w:t>.</w:t>
      </w:r>
      <w:r>
        <w:rPr>
          <w:i/>
          <w:color w:val="auto"/>
          <w:sz w:val="24"/>
          <w:szCs w:val="24"/>
        </w:rPr>
        <w:t xml:space="preserve"> </w:t>
      </w:r>
      <w:r w:rsidR="00D033D5">
        <w:rPr>
          <w:i/>
          <w:color w:val="auto"/>
          <w:sz w:val="24"/>
          <w:szCs w:val="24"/>
        </w:rPr>
        <w:t>Budget Provisions</w:t>
      </w:r>
    </w:p>
    <w:p w:rsidR="00CE04A9" w:rsidRDefault="00CE04A9" w:rsidP="00EC73CC">
      <w:pPr>
        <w:pStyle w:val="Heading3"/>
        <w:spacing w:before="40"/>
        <w:ind w:left="187"/>
        <w:rPr>
          <w:rFonts w:asciiTheme="minorHAnsi" w:hAnsiTheme="minorHAnsi"/>
          <w:iCs/>
          <w:sz w:val="22"/>
        </w:rPr>
      </w:pPr>
    </w:p>
    <w:p w:rsidR="00D033D5" w:rsidRDefault="00D033D5" w:rsidP="00D033D5">
      <w:pPr>
        <w:pStyle w:val="BodyTextIndent"/>
        <w:ind w:left="180" w:right="360" w:firstLine="0"/>
        <w:rPr>
          <w:rFonts w:ascii="Calibri" w:hAnsi="Calibri"/>
          <w:sz w:val="22"/>
          <w:szCs w:val="22"/>
        </w:rPr>
      </w:pPr>
      <w:proofErr w:type="gramStart"/>
      <w:r w:rsidRPr="00D033D5">
        <w:rPr>
          <w:rFonts w:ascii="Calibri" w:hAnsi="Calibri"/>
          <w:b/>
          <w:bCs/>
          <w:i/>
          <w:iCs/>
          <w:sz w:val="22"/>
          <w:szCs w:val="22"/>
        </w:rPr>
        <w:t>Sequestration</w:t>
      </w:r>
      <w:r w:rsidRPr="00D033D5">
        <w:rPr>
          <w:rFonts w:ascii="Calibri" w:hAnsi="Calibri"/>
          <w:sz w:val="22"/>
          <w:szCs w:val="22"/>
        </w:rPr>
        <w:t>.</w:t>
      </w:r>
      <w:proofErr w:type="gramEnd"/>
      <w:r w:rsidRPr="00D033D5">
        <w:rPr>
          <w:rFonts w:ascii="Calibri" w:hAnsi="Calibri"/>
          <w:sz w:val="22"/>
          <w:szCs w:val="22"/>
        </w:rPr>
        <w:t xml:space="preserve"> This proposal would delay by two months automatic across-the-board cuts set to take effect January 2.</w:t>
      </w:r>
      <w:r w:rsidRPr="006007D5">
        <w:rPr>
          <w:rFonts w:ascii="Calibri" w:hAnsi="Calibri"/>
          <w:sz w:val="22"/>
          <w:szCs w:val="22"/>
        </w:rPr>
        <w:t xml:space="preserve"> </w:t>
      </w:r>
    </w:p>
    <w:p w:rsidR="00D033D5" w:rsidRPr="006007D5" w:rsidRDefault="00D033D5" w:rsidP="00D033D5">
      <w:pPr>
        <w:pStyle w:val="BodyTextIndent"/>
        <w:ind w:left="180" w:right="360" w:firstLine="0"/>
        <w:rPr>
          <w:rFonts w:ascii="Calibri" w:hAnsi="Calibri"/>
          <w:sz w:val="22"/>
          <w:szCs w:val="22"/>
        </w:rPr>
      </w:pPr>
    </w:p>
    <w:p w:rsidR="00EC73CC" w:rsidRPr="00EC73CC" w:rsidRDefault="00EC73CC" w:rsidP="00EC73CC">
      <w:pPr>
        <w:pStyle w:val="Heading3"/>
        <w:spacing w:before="40"/>
        <w:ind w:left="187"/>
        <w:rPr>
          <w:rFonts w:asciiTheme="minorHAnsi" w:hAnsiTheme="minorHAnsi"/>
          <w:b w:val="0"/>
          <w:iCs/>
          <w:sz w:val="22"/>
        </w:rPr>
      </w:pPr>
      <w:proofErr w:type="gramStart"/>
      <w:r w:rsidRPr="00EC73CC">
        <w:rPr>
          <w:rFonts w:asciiTheme="minorHAnsi" w:hAnsiTheme="minorHAnsi"/>
          <w:iCs/>
          <w:sz w:val="22"/>
        </w:rPr>
        <w:t>Roth conversions for retirement plans.</w:t>
      </w:r>
      <w:proofErr w:type="gramEnd"/>
      <w:r w:rsidRPr="00EC73CC">
        <w:rPr>
          <w:rFonts w:asciiTheme="minorHAnsi" w:hAnsiTheme="minorHAnsi"/>
          <w:b w:val="0"/>
          <w:iCs/>
          <w:sz w:val="22"/>
        </w:rPr>
        <w:t xml:space="preserve">  </w:t>
      </w:r>
      <w:r w:rsidRPr="00EC73CC">
        <w:rPr>
          <w:rFonts w:asciiTheme="minorHAnsi" w:hAnsiTheme="minorHAnsi"/>
          <w:b w:val="0"/>
          <w:i w:val="0"/>
          <w:iCs/>
          <w:sz w:val="22"/>
        </w:rPr>
        <w:t>Under current law, a deferral plan under section 401(k) (including the Thrift Savings Plan), 403(b) or 457(b) governmental plan can have Roth accounts that allow participants to save on a Roth basis.  That is, they can make after-tax contributions to the plan and all the principal and earnings are tax-free when distributed.  Plans can currently allow participants to convert their pre-tax accounts to Roth accounts, but only with respect to money they have a right to take out of the plan, usually because they have reached age 59½ or separated from service. This proposal would allow any amount in a non-Roth account to be converted to a Roth account in the same plan, whether or not the amount is distributable.  The amount converted would be subject to regular income tax.</w:t>
      </w:r>
      <w:r w:rsidRPr="00EC73CC">
        <w:rPr>
          <w:rFonts w:asciiTheme="minorHAnsi" w:hAnsiTheme="minorHAnsi"/>
          <w:b w:val="0"/>
          <w:iCs/>
          <w:sz w:val="22"/>
        </w:rPr>
        <w:t xml:space="preserve"> </w:t>
      </w:r>
    </w:p>
    <w:p w:rsidR="003C3CAF" w:rsidRPr="003C3CAF" w:rsidRDefault="00EC73CC" w:rsidP="00EC73CC">
      <w:pPr>
        <w:pStyle w:val="Heading3"/>
        <w:spacing w:before="40"/>
        <w:ind w:left="187"/>
        <w:rPr>
          <w:rFonts w:asciiTheme="minorHAnsi" w:hAnsiTheme="minorHAnsi"/>
          <w:b w:val="0"/>
          <w:iCs/>
          <w:sz w:val="22"/>
        </w:rPr>
      </w:pPr>
      <w:r w:rsidRPr="00EC73CC">
        <w:rPr>
          <w:rFonts w:asciiTheme="minorHAnsi" w:hAnsiTheme="minorHAnsi"/>
          <w:b w:val="0"/>
          <w:iCs/>
          <w:sz w:val="22"/>
        </w:rPr>
        <w:t>This provision is estimated to raise $12.</w:t>
      </w:r>
      <w:r w:rsidR="00CE04A9">
        <w:rPr>
          <w:rFonts w:asciiTheme="minorHAnsi" w:hAnsiTheme="minorHAnsi"/>
          <w:b w:val="0"/>
          <w:iCs/>
          <w:sz w:val="22"/>
        </w:rPr>
        <w:t>186</w:t>
      </w:r>
      <w:r w:rsidRPr="00EC73CC">
        <w:rPr>
          <w:rFonts w:asciiTheme="minorHAnsi" w:hAnsiTheme="minorHAnsi"/>
          <w:b w:val="0"/>
          <w:iCs/>
          <w:sz w:val="22"/>
        </w:rPr>
        <w:t xml:space="preserve"> billion over ten year</w:t>
      </w:r>
      <w:r>
        <w:rPr>
          <w:rFonts w:asciiTheme="minorHAnsi" w:hAnsiTheme="minorHAnsi"/>
          <w:b w:val="0"/>
          <w:iCs/>
          <w:sz w:val="22"/>
        </w:rPr>
        <w:t>.</w:t>
      </w:r>
    </w:p>
    <w:sectPr w:rsidR="003C3CAF" w:rsidRPr="003C3CAF" w:rsidSect="000D591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89" w:rsidRDefault="00E02889" w:rsidP="009615CC">
      <w:pPr>
        <w:spacing w:after="0" w:line="240" w:lineRule="auto"/>
      </w:pPr>
      <w:r>
        <w:separator/>
      </w:r>
    </w:p>
  </w:endnote>
  <w:endnote w:type="continuationSeparator" w:id="0">
    <w:p w:rsidR="00E02889" w:rsidRDefault="00E02889" w:rsidP="0096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3226"/>
      <w:docPartObj>
        <w:docPartGallery w:val="Page Numbers (Bottom of Page)"/>
        <w:docPartUnique/>
      </w:docPartObj>
    </w:sdtPr>
    <w:sdtEndPr>
      <w:rPr>
        <w:rFonts w:asciiTheme="minorHAnsi" w:hAnsiTheme="minorHAnsi"/>
        <w:sz w:val="20"/>
        <w:szCs w:val="20"/>
      </w:rPr>
    </w:sdtEndPr>
    <w:sdtContent>
      <w:p w:rsidR="0040227E" w:rsidRPr="0083597F" w:rsidRDefault="0040227E">
        <w:pPr>
          <w:pStyle w:val="Footer"/>
          <w:jc w:val="right"/>
          <w:rPr>
            <w:rFonts w:asciiTheme="minorHAnsi" w:hAnsiTheme="minorHAnsi"/>
            <w:sz w:val="20"/>
            <w:szCs w:val="20"/>
          </w:rPr>
        </w:pPr>
        <w:r w:rsidRPr="0083597F">
          <w:rPr>
            <w:rFonts w:asciiTheme="minorHAnsi" w:hAnsiTheme="minorHAnsi"/>
            <w:sz w:val="20"/>
            <w:szCs w:val="20"/>
          </w:rPr>
          <w:fldChar w:fldCharType="begin"/>
        </w:r>
        <w:r w:rsidRPr="0083597F">
          <w:rPr>
            <w:rFonts w:asciiTheme="minorHAnsi" w:hAnsiTheme="minorHAnsi"/>
            <w:sz w:val="20"/>
            <w:szCs w:val="20"/>
          </w:rPr>
          <w:instrText xml:space="preserve"> PAGE   \* MERGEFORMAT </w:instrText>
        </w:r>
        <w:r w:rsidRPr="0083597F">
          <w:rPr>
            <w:rFonts w:asciiTheme="minorHAnsi" w:hAnsiTheme="minorHAnsi"/>
            <w:sz w:val="20"/>
            <w:szCs w:val="20"/>
          </w:rPr>
          <w:fldChar w:fldCharType="separate"/>
        </w:r>
        <w:r w:rsidR="00877A68">
          <w:rPr>
            <w:rFonts w:asciiTheme="minorHAnsi" w:hAnsiTheme="minorHAnsi"/>
            <w:noProof/>
            <w:sz w:val="20"/>
            <w:szCs w:val="20"/>
          </w:rPr>
          <w:t>18</w:t>
        </w:r>
        <w:r w:rsidRPr="0083597F">
          <w:rPr>
            <w:rFonts w:asciiTheme="minorHAnsi" w:hAnsiTheme="minorHAnsi"/>
            <w:noProof/>
            <w:sz w:val="20"/>
            <w:szCs w:val="20"/>
          </w:rPr>
          <w:fldChar w:fldCharType="end"/>
        </w:r>
      </w:p>
    </w:sdtContent>
  </w:sdt>
  <w:p w:rsidR="0040227E" w:rsidRDefault="00402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89" w:rsidRDefault="00E02889" w:rsidP="009615CC">
      <w:pPr>
        <w:spacing w:after="0" w:line="240" w:lineRule="auto"/>
      </w:pPr>
      <w:r>
        <w:separator/>
      </w:r>
    </w:p>
  </w:footnote>
  <w:footnote w:type="continuationSeparator" w:id="0">
    <w:p w:rsidR="00E02889" w:rsidRDefault="00E02889" w:rsidP="009615CC">
      <w:pPr>
        <w:spacing w:after="0" w:line="240" w:lineRule="auto"/>
      </w:pPr>
      <w:r>
        <w:continuationSeparator/>
      </w:r>
    </w:p>
  </w:footnote>
  <w:footnote w:id="1">
    <w:p w:rsidR="00FE7702" w:rsidRDefault="00FE7702" w:rsidP="00CE7B84">
      <w:pPr>
        <w:pStyle w:val="FootnoteText"/>
        <w:spacing w:after="80"/>
      </w:pPr>
      <w:r>
        <w:rPr>
          <w:rStyle w:val="FootnoteReference"/>
        </w:rPr>
        <w:footnoteRef/>
      </w:r>
      <w:r>
        <w:t xml:space="preserve"> The Joint Committee on Taxation estimates the budgetary cost of tax provisions – reflecting both the revenue loss and outlay effects associated with those provisions – relative to current law.  </w:t>
      </w:r>
      <w:r w:rsidRPr="00FE7702">
        <w:t>Where applicable, savings relative to current policy</w:t>
      </w:r>
      <w:r>
        <w:t xml:space="preserve"> (extension of tax laws in effect during 2012)</w:t>
      </w:r>
      <w:r w:rsidRPr="00FE7702">
        <w:t xml:space="preserve"> are noted in footnotes.</w:t>
      </w:r>
    </w:p>
  </w:footnote>
  <w:footnote w:id="2">
    <w:p w:rsidR="00B446B4" w:rsidRDefault="00B446B4" w:rsidP="0065097D">
      <w:pPr>
        <w:pStyle w:val="FootnoteText"/>
        <w:spacing w:after="80"/>
      </w:pPr>
      <w:r>
        <w:rPr>
          <w:rStyle w:val="FootnoteReference"/>
        </w:rPr>
        <w:footnoteRef/>
      </w:r>
      <w:r>
        <w:t xml:space="preserve"> </w:t>
      </w:r>
      <w:r w:rsidRPr="00B446B4">
        <w:t xml:space="preserve">The provision </w:t>
      </w:r>
      <w:r w:rsidR="00FE7702">
        <w:t>raises</w:t>
      </w:r>
      <w:r w:rsidR="00FE7702" w:rsidRPr="00B446B4">
        <w:t xml:space="preserve"> </w:t>
      </w:r>
      <w:r w:rsidRPr="00B446B4">
        <w:t>$396.889 billion relative to current policy.</w:t>
      </w:r>
    </w:p>
  </w:footnote>
  <w:footnote w:id="3">
    <w:p w:rsidR="00B446B4" w:rsidRDefault="00B446B4" w:rsidP="0065097D">
      <w:pPr>
        <w:pStyle w:val="FootnoteText"/>
        <w:spacing w:after="80"/>
      </w:pPr>
      <w:r>
        <w:rPr>
          <w:rStyle w:val="FootnoteReference"/>
        </w:rPr>
        <w:footnoteRef/>
      </w:r>
      <w:r>
        <w:t xml:space="preserve"> </w:t>
      </w:r>
      <w:r w:rsidRPr="00B446B4">
        <w:t xml:space="preserve">The provisions </w:t>
      </w:r>
      <w:r w:rsidR="00FE7702">
        <w:t>raise</w:t>
      </w:r>
      <w:r w:rsidR="00FE7702" w:rsidRPr="00B446B4">
        <w:t xml:space="preserve"> </w:t>
      </w:r>
      <w:r w:rsidRPr="00B446B4">
        <w:t>$152.186 billion relative to current policy.</w:t>
      </w:r>
    </w:p>
  </w:footnote>
  <w:footnote w:id="4">
    <w:p w:rsidR="00B446B4" w:rsidRDefault="00B446B4" w:rsidP="0065097D">
      <w:pPr>
        <w:pStyle w:val="FootnoteText"/>
        <w:spacing w:after="80"/>
      </w:pPr>
      <w:r>
        <w:rPr>
          <w:rStyle w:val="FootnoteReference"/>
        </w:rPr>
        <w:footnoteRef/>
      </w:r>
      <w:r>
        <w:t xml:space="preserve"> T</w:t>
      </w:r>
      <w:r w:rsidRPr="00B446B4">
        <w:t xml:space="preserve">he provisions </w:t>
      </w:r>
      <w:r w:rsidR="00FE7702">
        <w:t>raise</w:t>
      </w:r>
      <w:r w:rsidR="00FE7702" w:rsidRPr="00B446B4">
        <w:t xml:space="preserve"> </w:t>
      </w:r>
      <w:r w:rsidRPr="00B446B4">
        <w:t>$152.186 billion relative to current policy.</w:t>
      </w:r>
    </w:p>
  </w:footnote>
  <w:footnote w:id="5">
    <w:p w:rsidR="00120E02" w:rsidRDefault="00120E02" w:rsidP="00120E02">
      <w:pPr>
        <w:pStyle w:val="FootnoteText"/>
        <w:spacing w:after="80"/>
      </w:pPr>
      <w:r>
        <w:rPr>
          <w:rStyle w:val="FootnoteReference"/>
        </w:rPr>
        <w:footnoteRef/>
      </w:r>
      <w:r>
        <w:t xml:space="preserve"> T</w:t>
      </w:r>
      <w:r w:rsidRPr="00803898">
        <w:t>hese provisions save $19.132 billion relative to current policy.</w:t>
      </w:r>
    </w:p>
  </w:footnote>
  <w:footnote w:id="6">
    <w:p w:rsidR="00B446B4" w:rsidRDefault="00B446B4" w:rsidP="0065097D">
      <w:pPr>
        <w:pStyle w:val="FootnoteText"/>
        <w:spacing w:after="80"/>
      </w:pPr>
      <w:r>
        <w:rPr>
          <w:rStyle w:val="FootnoteReference"/>
        </w:rPr>
        <w:footnoteRef/>
      </w:r>
      <w:r>
        <w:t xml:space="preserve"> T</w:t>
      </w:r>
      <w:r w:rsidRPr="00B446B4">
        <w:t xml:space="preserve">he provision </w:t>
      </w:r>
      <w:r w:rsidR="00FE7702">
        <w:t>raises</w:t>
      </w:r>
      <w:r w:rsidR="00FE7702" w:rsidRPr="00B446B4">
        <w:t xml:space="preserve"> </w:t>
      </w:r>
      <w:r w:rsidRPr="00B446B4">
        <w:t>$56.180 billion relative to current policy.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7BA"/>
    <w:multiLevelType w:val="hybridMultilevel"/>
    <w:tmpl w:val="27F668DC"/>
    <w:lvl w:ilvl="0" w:tplc="5F6C1EC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F0EDE"/>
    <w:multiLevelType w:val="hybridMultilevel"/>
    <w:tmpl w:val="18302A68"/>
    <w:lvl w:ilvl="0" w:tplc="48CC110C">
      <w:start w:val="1"/>
      <w:numFmt w:val="bullet"/>
      <w:lvlText w:val=""/>
      <w:lvlJc w:val="left"/>
      <w:pPr>
        <w:ind w:left="6210" w:hanging="360"/>
      </w:pPr>
      <w:rPr>
        <w:rFonts w:ascii="Symbol" w:hAnsi="Symbol" w:hint="default"/>
        <w:sz w:val="22"/>
        <w:szCs w:val="22"/>
      </w:rPr>
    </w:lvl>
    <w:lvl w:ilvl="1" w:tplc="04090003">
      <w:start w:val="1"/>
      <w:numFmt w:val="bullet"/>
      <w:lvlText w:val="o"/>
      <w:lvlJc w:val="left"/>
      <w:pPr>
        <w:ind w:left="6930" w:hanging="360"/>
      </w:pPr>
      <w:rPr>
        <w:rFonts w:ascii="Courier New" w:hAnsi="Courier New" w:cs="Arial" w:hint="default"/>
      </w:rPr>
    </w:lvl>
    <w:lvl w:ilvl="2" w:tplc="04090005">
      <w:start w:val="1"/>
      <w:numFmt w:val="bullet"/>
      <w:lvlText w:val=""/>
      <w:lvlJc w:val="left"/>
      <w:pPr>
        <w:ind w:left="7650" w:hanging="360"/>
      </w:pPr>
      <w:rPr>
        <w:rFonts w:ascii="Wingdings" w:hAnsi="Wingdings" w:hint="default"/>
      </w:rPr>
    </w:lvl>
    <w:lvl w:ilvl="3" w:tplc="04090001">
      <w:start w:val="1"/>
      <w:numFmt w:val="bullet"/>
      <w:lvlText w:val=""/>
      <w:lvlJc w:val="left"/>
      <w:pPr>
        <w:ind w:left="8370" w:hanging="360"/>
      </w:pPr>
      <w:rPr>
        <w:rFonts w:ascii="Symbol" w:hAnsi="Symbol" w:hint="default"/>
      </w:rPr>
    </w:lvl>
    <w:lvl w:ilvl="4" w:tplc="04090003">
      <w:start w:val="1"/>
      <w:numFmt w:val="bullet"/>
      <w:lvlText w:val="o"/>
      <w:lvlJc w:val="left"/>
      <w:pPr>
        <w:ind w:left="9090" w:hanging="360"/>
      </w:pPr>
      <w:rPr>
        <w:rFonts w:ascii="Courier New" w:hAnsi="Courier New" w:cs="Arial" w:hint="default"/>
      </w:rPr>
    </w:lvl>
    <w:lvl w:ilvl="5" w:tplc="04090005">
      <w:start w:val="1"/>
      <w:numFmt w:val="bullet"/>
      <w:lvlText w:val=""/>
      <w:lvlJc w:val="left"/>
      <w:pPr>
        <w:ind w:left="9810" w:hanging="360"/>
      </w:pPr>
      <w:rPr>
        <w:rFonts w:ascii="Wingdings" w:hAnsi="Wingdings" w:hint="default"/>
      </w:rPr>
    </w:lvl>
    <w:lvl w:ilvl="6" w:tplc="04090001">
      <w:start w:val="1"/>
      <w:numFmt w:val="bullet"/>
      <w:lvlText w:val=""/>
      <w:lvlJc w:val="left"/>
      <w:pPr>
        <w:ind w:left="10530" w:hanging="360"/>
      </w:pPr>
      <w:rPr>
        <w:rFonts w:ascii="Symbol" w:hAnsi="Symbol" w:hint="default"/>
      </w:rPr>
    </w:lvl>
    <w:lvl w:ilvl="7" w:tplc="04090003">
      <w:start w:val="1"/>
      <w:numFmt w:val="bullet"/>
      <w:lvlText w:val="o"/>
      <w:lvlJc w:val="left"/>
      <w:pPr>
        <w:ind w:left="11250" w:hanging="360"/>
      </w:pPr>
      <w:rPr>
        <w:rFonts w:ascii="Courier New" w:hAnsi="Courier New" w:cs="Arial" w:hint="default"/>
      </w:rPr>
    </w:lvl>
    <w:lvl w:ilvl="8" w:tplc="04090005">
      <w:start w:val="1"/>
      <w:numFmt w:val="bullet"/>
      <w:lvlText w:val=""/>
      <w:lvlJc w:val="left"/>
      <w:pPr>
        <w:ind w:left="11970" w:hanging="360"/>
      </w:pPr>
      <w:rPr>
        <w:rFonts w:ascii="Wingdings" w:hAnsi="Wingdings" w:hint="default"/>
      </w:rPr>
    </w:lvl>
  </w:abstractNum>
  <w:abstractNum w:abstractNumId="2">
    <w:nsid w:val="0A517718"/>
    <w:multiLevelType w:val="hybridMultilevel"/>
    <w:tmpl w:val="9C2CE456"/>
    <w:lvl w:ilvl="0" w:tplc="93ACC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349C7"/>
    <w:multiLevelType w:val="hybridMultilevel"/>
    <w:tmpl w:val="9DEAAC4C"/>
    <w:lvl w:ilvl="0" w:tplc="5F6C1EC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934AA"/>
    <w:multiLevelType w:val="hybridMultilevel"/>
    <w:tmpl w:val="03960B40"/>
    <w:lvl w:ilvl="0" w:tplc="E24C1396">
      <w:start w:val="1"/>
      <w:numFmt w:val="decimal"/>
      <w:lvlText w:val="%1."/>
      <w:lvlJc w:val="left"/>
      <w:pPr>
        <w:ind w:left="720" w:hanging="360"/>
      </w:pPr>
      <w:rPr>
        <w:rFonts w:hint="default"/>
        <w:b w:val="0"/>
        <w:i/>
      </w:rPr>
    </w:lvl>
    <w:lvl w:ilvl="1" w:tplc="6E24DB3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A5FAD"/>
    <w:multiLevelType w:val="hybridMultilevel"/>
    <w:tmpl w:val="55B8E46C"/>
    <w:lvl w:ilvl="0" w:tplc="5F6C1EC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113FD"/>
    <w:multiLevelType w:val="hybridMultilevel"/>
    <w:tmpl w:val="D6089EAC"/>
    <w:lvl w:ilvl="0" w:tplc="C3CE6B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6626A"/>
    <w:multiLevelType w:val="hybridMultilevel"/>
    <w:tmpl w:val="6FA0D6DC"/>
    <w:lvl w:ilvl="0" w:tplc="AA74CB7C">
      <w:start w:val="1"/>
      <w:numFmt w:val="upperRoman"/>
      <w:lvlText w:val="%1."/>
      <w:lvlJc w:val="right"/>
      <w:pPr>
        <w:ind w:left="360" w:hanging="360"/>
      </w:pPr>
      <w:rPr>
        <w:sz w:val="40"/>
        <w:szCs w:val="4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264CB0"/>
    <w:multiLevelType w:val="hybridMultilevel"/>
    <w:tmpl w:val="55B8E46C"/>
    <w:lvl w:ilvl="0" w:tplc="5F6C1EC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E6922"/>
    <w:multiLevelType w:val="hybridMultilevel"/>
    <w:tmpl w:val="4B86E200"/>
    <w:lvl w:ilvl="0" w:tplc="04090001">
      <w:start w:val="1"/>
      <w:numFmt w:val="bullet"/>
      <w:lvlText w:val=""/>
      <w:lvlJc w:val="left"/>
      <w:pPr>
        <w:ind w:left="720" w:hanging="360"/>
      </w:pPr>
      <w:rPr>
        <w:rFonts w:ascii="Symbol" w:hAnsi="Symbol" w:hint="default"/>
      </w:rPr>
    </w:lvl>
    <w:lvl w:ilvl="1" w:tplc="431E3222">
      <w:start w:val="1"/>
      <w:numFmt w:val="bullet"/>
      <w:lvlText w:val="o"/>
      <w:lvlJc w:val="left"/>
      <w:pPr>
        <w:ind w:left="1440" w:hanging="360"/>
      </w:pPr>
      <w:rPr>
        <w:rFonts w:ascii="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311E5"/>
    <w:multiLevelType w:val="hybridMultilevel"/>
    <w:tmpl w:val="8DC05F96"/>
    <w:lvl w:ilvl="0" w:tplc="434C4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025C2"/>
    <w:multiLevelType w:val="hybridMultilevel"/>
    <w:tmpl w:val="974E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1467E0"/>
    <w:multiLevelType w:val="hybridMultilevel"/>
    <w:tmpl w:val="F0F45E04"/>
    <w:lvl w:ilvl="0" w:tplc="93ACC00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5A5A97B2">
      <w:start w:val="1"/>
      <w:numFmt w:val="decimal"/>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673E3"/>
    <w:multiLevelType w:val="hybridMultilevel"/>
    <w:tmpl w:val="5658D8DA"/>
    <w:lvl w:ilvl="0" w:tplc="93ACC00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50DC9"/>
    <w:multiLevelType w:val="hybridMultilevel"/>
    <w:tmpl w:val="42726A9A"/>
    <w:lvl w:ilvl="0" w:tplc="0E506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9E5953"/>
    <w:multiLevelType w:val="hybridMultilevel"/>
    <w:tmpl w:val="203C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36036"/>
    <w:multiLevelType w:val="hybridMultilevel"/>
    <w:tmpl w:val="55B8E46C"/>
    <w:lvl w:ilvl="0" w:tplc="5F6C1EC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A276B8"/>
    <w:multiLevelType w:val="hybridMultilevel"/>
    <w:tmpl w:val="2376E4B0"/>
    <w:lvl w:ilvl="0" w:tplc="93ACC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4C6721"/>
    <w:multiLevelType w:val="hybridMultilevel"/>
    <w:tmpl w:val="9C2CE456"/>
    <w:lvl w:ilvl="0" w:tplc="93ACC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11"/>
  </w:num>
  <w:num w:numId="5">
    <w:abstractNumId w:val="4"/>
  </w:num>
  <w:num w:numId="6">
    <w:abstractNumId w:val="10"/>
  </w:num>
  <w:num w:numId="7">
    <w:abstractNumId w:val="8"/>
  </w:num>
  <w:num w:numId="8">
    <w:abstractNumId w:val="7"/>
  </w:num>
  <w:num w:numId="9">
    <w:abstractNumId w:val="13"/>
  </w:num>
  <w:num w:numId="10">
    <w:abstractNumId w:val="17"/>
  </w:num>
  <w:num w:numId="11">
    <w:abstractNumId w:val="18"/>
  </w:num>
  <w:num w:numId="12">
    <w:abstractNumId w:val="2"/>
  </w:num>
  <w:num w:numId="13">
    <w:abstractNumId w:val="12"/>
  </w:num>
  <w:num w:numId="14">
    <w:abstractNumId w:val="3"/>
  </w:num>
  <w:num w:numId="15">
    <w:abstractNumId w:val="0"/>
  </w:num>
  <w:num w:numId="16">
    <w:abstractNumId w:val="16"/>
  </w:num>
  <w:num w:numId="17">
    <w:abstractNumId w:val="5"/>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02"/>
    <w:rsid w:val="00001FC7"/>
    <w:rsid w:val="00002252"/>
    <w:rsid w:val="00004116"/>
    <w:rsid w:val="00004AD0"/>
    <w:rsid w:val="0001068B"/>
    <w:rsid w:val="00010C77"/>
    <w:rsid w:val="00011D66"/>
    <w:rsid w:val="00017B80"/>
    <w:rsid w:val="0003710C"/>
    <w:rsid w:val="00037B42"/>
    <w:rsid w:val="00044210"/>
    <w:rsid w:val="00044E63"/>
    <w:rsid w:val="000521D1"/>
    <w:rsid w:val="00062FC1"/>
    <w:rsid w:val="0006349B"/>
    <w:rsid w:val="000668F4"/>
    <w:rsid w:val="00076888"/>
    <w:rsid w:val="00082264"/>
    <w:rsid w:val="00090003"/>
    <w:rsid w:val="00094846"/>
    <w:rsid w:val="000B0ED3"/>
    <w:rsid w:val="000B4658"/>
    <w:rsid w:val="000C03E0"/>
    <w:rsid w:val="000D354B"/>
    <w:rsid w:val="000D591F"/>
    <w:rsid w:val="000F1022"/>
    <w:rsid w:val="00100893"/>
    <w:rsid w:val="001014BF"/>
    <w:rsid w:val="001024D7"/>
    <w:rsid w:val="001030AC"/>
    <w:rsid w:val="00103C33"/>
    <w:rsid w:val="00106016"/>
    <w:rsid w:val="00106862"/>
    <w:rsid w:val="00116F28"/>
    <w:rsid w:val="00120E02"/>
    <w:rsid w:val="001210E3"/>
    <w:rsid w:val="00132D34"/>
    <w:rsid w:val="00135AEC"/>
    <w:rsid w:val="00151F61"/>
    <w:rsid w:val="00155546"/>
    <w:rsid w:val="00155D28"/>
    <w:rsid w:val="00166635"/>
    <w:rsid w:val="00170386"/>
    <w:rsid w:val="00184667"/>
    <w:rsid w:val="00186BA5"/>
    <w:rsid w:val="001A03A7"/>
    <w:rsid w:val="001A0F1A"/>
    <w:rsid w:val="001A2A93"/>
    <w:rsid w:val="001A7AB0"/>
    <w:rsid w:val="001B1F2F"/>
    <w:rsid w:val="001D2AE9"/>
    <w:rsid w:val="001E15C5"/>
    <w:rsid w:val="001E4662"/>
    <w:rsid w:val="001F1211"/>
    <w:rsid w:val="00210A7B"/>
    <w:rsid w:val="00223A4F"/>
    <w:rsid w:val="00223C69"/>
    <w:rsid w:val="00225FAE"/>
    <w:rsid w:val="0023495D"/>
    <w:rsid w:val="00236A77"/>
    <w:rsid w:val="002541DB"/>
    <w:rsid w:val="002701F5"/>
    <w:rsid w:val="00292B6F"/>
    <w:rsid w:val="00293F8C"/>
    <w:rsid w:val="00293FB8"/>
    <w:rsid w:val="002C7A55"/>
    <w:rsid w:val="002E4E30"/>
    <w:rsid w:val="003044D3"/>
    <w:rsid w:val="00310581"/>
    <w:rsid w:val="00312080"/>
    <w:rsid w:val="00316719"/>
    <w:rsid w:val="00321BA3"/>
    <w:rsid w:val="00322856"/>
    <w:rsid w:val="00324AF3"/>
    <w:rsid w:val="003362E3"/>
    <w:rsid w:val="00343FD2"/>
    <w:rsid w:val="00345447"/>
    <w:rsid w:val="003500E7"/>
    <w:rsid w:val="00356101"/>
    <w:rsid w:val="00357334"/>
    <w:rsid w:val="00360C6D"/>
    <w:rsid w:val="00363F43"/>
    <w:rsid w:val="00372908"/>
    <w:rsid w:val="00373730"/>
    <w:rsid w:val="003877FE"/>
    <w:rsid w:val="00394240"/>
    <w:rsid w:val="003A45B4"/>
    <w:rsid w:val="003B0AA2"/>
    <w:rsid w:val="003B7078"/>
    <w:rsid w:val="003C3CAF"/>
    <w:rsid w:val="003C5B25"/>
    <w:rsid w:val="003C76CB"/>
    <w:rsid w:val="003E7631"/>
    <w:rsid w:val="003F2E7A"/>
    <w:rsid w:val="003F32EF"/>
    <w:rsid w:val="0040227E"/>
    <w:rsid w:val="0040619E"/>
    <w:rsid w:val="00422D03"/>
    <w:rsid w:val="0044318F"/>
    <w:rsid w:val="004645FE"/>
    <w:rsid w:val="0047641D"/>
    <w:rsid w:val="00494748"/>
    <w:rsid w:val="004A091B"/>
    <w:rsid w:val="004B0DF8"/>
    <w:rsid w:val="004D569D"/>
    <w:rsid w:val="004E32C8"/>
    <w:rsid w:val="004E3CC5"/>
    <w:rsid w:val="005175F8"/>
    <w:rsid w:val="005213DA"/>
    <w:rsid w:val="00521D2D"/>
    <w:rsid w:val="005226F0"/>
    <w:rsid w:val="00525439"/>
    <w:rsid w:val="0052628C"/>
    <w:rsid w:val="00530055"/>
    <w:rsid w:val="0053324B"/>
    <w:rsid w:val="00543902"/>
    <w:rsid w:val="00552B5D"/>
    <w:rsid w:val="005536EA"/>
    <w:rsid w:val="00553F4E"/>
    <w:rsid w:val="00565524"/>
    <w:rsid w:val="00565AA9"/>
    <w:rsid w:val="00582AC2"/>
    <w:rsid w:val="005877C6"/>
    <w:rsid w:val="00590084"/>
    <w:rsid w:val="00591B12"/>
    <w:rsid w:val="005A6E5F"/>
    <w:rsid w:val="005B0CA6"/>
    <w:rsid w:val="005B27BE"/>
    <w:rsid w:val="005B5D23"/>
    <w:rsid w:val="005B7BF4"/>
    <w:rsid w:val="005C0623"/>
    <w:rsid w:val="005C2078"/>
    <w:rsid w:val="005C57EA"/>
    <w:rsid w:val="005D0FE2"/>
    <w:rsid w:val="005D4710"/>
    <w:rsid w:val="006007D5"/>
    <w:rsid w:val="00600F22"/>
    <w:rsid w:val="006037E6"/>
    <w:rsid w:val="00612FE2"/>
    <w:rsid w:val="00615D4E"/>
    <w:rsid w:val="006220A8"/>
    <w:rsid w:val="00622C04"/>
    <w:rsid w:val="00623053"/>
    <w:rsid w:val="00631701"/>
    <w:rsid w:val="00633968"/>
    <w:rsid w:val="00646C9B"/>
    <w:rsid w:val="0065097D"/>
    <w:rsid w:val="00651954"/>
    <w:rsid w:val="00663D07"/>
    <w:rsid w:val="00664014"/>
    <w:rsid w:val="00667718"/>
    <w:rsid w:val="00675BB7"/>
    <w:rsid w:val="006832EC"/>
    <w:rsid w:val="00683E62"/>
    <w:rsid w:val="00684723"/>
    <w:rsid w:val="006847CC"/>
    <w:rsid w:val="00685502"/>
    <w:rsid w:val="006A07A8"/>
    <w:rsid w:val="006B1B38"/>
    <w:rsid w:val="006B432E"/>
    <w:rsid w:val="006C395A"/>
    <w:rsid w:val="006C5C45"/>
    <w:rsid w:val="006C6801"/>
    <w:rsid w:val="006D5315"/>
    <w:rsid w:val="006D75EF"/>
    <w:rsid w:val="006E044D"/>
    <w:rsid w:val="006E182F"/>
    <w:rsid w:val="006E4E33"/>
    <w:rsid w:val="006E701E"/>
    <w:rsid w:val="00705A41"/>
    <w:rsid w:val="0070770E"/>
    <w:rsid w:val="00713439"/>
    <w:rsid w:val="0075357D"/>
    <w:rsid w:val="00754701"/>
    <w:rsid w:val="00754AC9"/>
    <w:rsid w:val="0076400F"/>
    <w:rsid w:val="007718AC"/>
    <w:rsid w:val="007753F6"/>
    <w:rsid w:val="00786A56"/>
    <w:rsid w:val="00791D7A"/>
    <w:rsid w:val="007B4ACF"/>
    <w:rsid w:val="007B6A2B"/>
    <w:rsid w:val="007D03BC"/>
    <w:rsid w:val="007D48A2"/>
    <w:rsid w:val="007E138A"/>
    <w:rsid w:val="007E2774"/>
    <w:rsid w:val="007E47F8"/>
    <w:rsid w:val="007F577C"/>
    <w:rsid w:val="00803898"/>
    <w:rsid w:val="00812C28"/>
    <w:rsid w:val="008151CE"/>
    <w:rsid w:val="0082616E"/>
    <w:rsid w:val="00832CC3"/>
    <w:rsid w:val="0083597F"/>
    <w:rsid w:val="00840FD5"/>
    <w:rsid w:val="008455EA"/>
    <w:rsid w:val="00850B2A"/>
    <w:rsid w:val="00856979"/>
    <w:rsid w:val="00862DAC"/>
    <w:rsid w:val="008651FB"/>
    <w:rsid w:val="00865D6C"/>
    <w:rsid w:val="008675A3"/>
    <w:rsid w:val="00870FF4"/>
    <w:rsid w:val="00877A68"/>
    <w:rsid w:val="00881449"/>
    <w:rsid w:val="008817A9"/>
    <w:rsid w:val="00887252"/>
    <w:rsid w:val="0089304B"/>
    <w:rsid w:val="00895980"/>
    <w:rsid w:val="008A2016"/>
    <w:rsid w:val="008A29E1"/>
    <w:rsid w:val="008B2435"/>
    <w:rsid w:val="008B4617"/>
    <w:rsid w:val="008B4EF1"/>
    <w:rsid w:val="008C393D"/>
    <w:rsid w:val="008C6A4C"/>
    <w:rsid w:val="008C6BA2"/>
    <w:rsid w:val="008D107D"/>
    <w:rsid w:val="008D44A9"/>
    <w:rsid w:val="008E6BBC"/>
    <w:rsid w:val="008E7448"/>
    <w:rsid w:val="008F4FA8"/>
    <w:rsid w:val="0090526B"/>
    <w:rsid w:val="0090541C"/>
    <w:rsid w:val="00907D64"/>
    <w:rsid w:val="009129F3"/>
    <w:rsid w:val="00921B81"/>
    <w:rsid w:val="00922928"/>
    <w:rsid w:val="00926AB6"/>
    <w:rsid w:val="00930766"/>
    <w:rsid w:val="0093576C"/>
    <w:rsid w:val="00946400"/>
    <w:rsid w:val="00953644"/>
    <w:rsid w:val="009615CC"/>
    <w:rsid w:val="0097556F"/>
    <w:rsid w:val="0098360E"/>
    <w:rsid w:val="00991475"/>
    <w:rsid w:val="00994BFC"/>
    <w:rsid w:val="009A0CBA"/>
    <w:rsid w:val="009A18BD"/>
    <w:rsid w:val="009A358F"/>
    <w:rsid w:val="009B3165"/>
    <w:rsid w:val="009B3535"/>
    <w:rsid w:val="009C2339"/>
    <w:rsid w:val="009C266F"/>
    <w:rsid w:val="009D0E77"/>
    <w:rsid w:val="009D1490"/>
    <w:rsid w:val="009E1979"/>
    <w:rsid w:val="009E785A"/>
    <w:rsid w:val="009F35CB"/>
    <w:rsid w:val="00A06FE6"/>
    <w:rsid w:val="00A10210"/>
    <w:rsid w:val="00A14984"/>
    <w:rsid w:val="00A15CC3"/>
    <w:rsid w:val="00A20A0E"/>
    <w:rsid w:val="00A20A3F"/>
    <w:rsid w:val="00A22463"/>
    <w:rsid w:val="00A22EC8"/>
    <w:rsid w:val="00A239B0"/>
    <w:rsid w:val="00A54317"/>
    <w:rsid w:val="00A552B4"/>
    <w:rsid w:val="00A55CE2"/>
    <w:rsid w:val="00A71D2F"/>
    <w:rsid w:val="00A720DC"/>
    <w:rsid w:val="00A76FF2"/>
    <w:rsid w:val="00A804A0"/>
    <w:rsid w:val="00A82BCA"/>
    <w:rsid w:val="00A85854"/>
    <w:rsid w:val="00A8734A"/>
    <w:rsid w:val="00A87A77"/>
    <w:rsid w:val="00A87DB4"/>
    <w:rsid w:val="00A9195E"/>
    <w:rsid w:val="00A92740"/>
    <w:rsid w:val="00AA0F7F"/>
    <w:rsid w:val="00AA4405"/>
    <w:rsid w:val="00AA7A6C"/>
    <w:rsid w:val="00AB6AFC"/>
    <w:rsid w:val="00AC0EC2"/>
    <w:rsid w:val="00AC156B"/>
    <w:rsid w:val="00AC2C1F"/>
    <w:rsid w:val="00AC7B98"/>
    <w:rsid w:val="00AD1215"/>
    <w:rsid w:val="00AF01E4"/>
    <w:rsid w:val="00AF218F"/>
    <w:rsid w:val="00AF2ACC"/>
    <w:rsid w:val="00AF2F0A"/>
    <w:rsid w:val="00B00D04"/>
    <w:rsid w:val="00B02B34"/>
    <w:rsid w:val="00B06C95"/>
    <w:rsid w:val="00B10E3C"/>
    <w:rsid w:val="00B13477"/>
    <w:rsid w:val="00B24D20"/>
    <w:rsid w:val="00B31F0B"/>
    <w:rsid w:val="00B35276"/>
    <w:rsid w:val="00B352A4"/>
    <w:rsid w:val="00B446B4"/>
    <w:rsid w:val="00B44F16"/>
    <w:rsid w:val="00B45704"/>
    <w:rsid w:val="00B47D23"/>
    <w:rsid w:val="00B559D9"/>
    <w:rsid w:val="00B753C5"/>
    <w:rsid w:val="00B771E6"/>
    <w:rsid w:val="00B80959"/>
    <w:rsid w:val="00B81562"/>
    <w:rsid w:val="00B91DA0"/>
    <w:rsid w:val="00BA0989"/>
    <w:rsid w:val="00BA0E11"/>
    <w:rsid w:val="00BA51E6"/>
    <w:rsid w:val="00BB7873"/>
    <w:rsid w:val="00BD09AB"/>
    <w:rsid w:val="00BD3EC8"/>
    <w:rsid w:val="00BD6FBF"/>
    <w:rsid w:val="00BE1A29"/>
    <w:rsid w:val="00BE61B4"/>
    <w:rsid w:val="00BE7AB7"/>
    <w:rsid w:val="00BF17DE"/>
    <w:rsid w:val="00C021FE"/>
    <w:rsid w:val="00C06780"/>
    <w:rsid w:val="00C06E25"/>
    <w:rsid w:val="00C101BD"/>
    <w:rsid w:val="00C10EB2"/>
    <w:rsid w:val="00C14AB5"/>
    <w:rsid w:val="00C20EE3"/>
    <w:rsid w:val="00C32891"/>
    <w:rsid w:val="00C354A1"/>
    <w:rsid w:val="00C402A5"/>
    <w:rsid w:val="00C4181E"/>
    <w:rsid w:val="00C454D6"/>
    <w:rsid w:val="00C54FA3"/>
    <w:rsid w:val="00C55631"/>
    <w:rsid w:val="00C630ED"/>
    <w:rsid w:val="00C8357F"/>
    <w:rsid w:val="00CA757E"/>
    <w:rsid w:val="00CB5111"/>
    <w:rsid w:val="00CB7B22"/>
    <w:rsid w:val="00CC7C50"/>
    <w:rsid w:val="00CD1C3D"/>
    <w:rsid w:val="00CE04A9"/>
    <w:rsid w:val="00CE6495"/>
    <w:rsid w:val="00CE7B84"/>
    <w:rsid w:val="00CF351F"/>
    <w:rsid w:val="00CF53B4"/>
    <w:rsid w:val="00D00E44"/>
    <w:rsid w:val="00D033D5"/>
    <w:rsid w:val="00D10803"/>
    <w:rsid w:val="00D127B9"/>
    <w:rsid w:val="00D20AD1"/>
    <w:rsid w:val="00D33531"/>
    <w:rsid w:val="00D40B4F"/>
    <w:rsid w:val="00D47FF7"/>
    <w:rsid w:val="00D53B4F"/>
    <w:rsid w:val="00D54568"/>
    <w:rsid w:val="00D6569B"/>
    <w:rsid w:val="00D7261D"/>
    <w:rsid w:val="00D8706C"/>
    <w:rsid w:val="00D94683"/>
    <w:rsid w:val="00DC065D"/>
    <w:rsid w:val="00DC24FE"/>
    <w:rsid w:val="00DD0D94"/>
    <w:rsid w:val="00DD320F"/>
    <w:rsid w:val="00DD3CA3"/>
    <w:rsid w:val="00DF6F26"/>
    <w:rsid w:val="00E02889"/>
    <w:rsid w:val="00E110ED"/>
    <w:rsid w:val="00E11D0B"/>
    <w:rsid w:val="00E128C4"/>
    <w:rsid w:val="00E31B0F"/>
    <w:rsid w:val="00E35866"/>
    <w:rsid w:val="00E37B57"/>
    <w:rsid w:val="00E37C81"/>
    <w:rsid w:val="00E56308"/>
    <w:rsid w:val="00E568C7"/>
    <w:rsid w:val="00E61B9A"/>
    <w:rsid w:val="00E62579"/>
    <w:rsid w:val="00E8687A"/>
    <w:rsid w:val="00E964B2"/>
    <w:rsid w:val="00EA33DA"/>
    <w:rsid w:val="00EC1325"/>
    <w:rsid w:val="00EC73CC"/>
    <w:rsid w:val="00ED10A3"/>
    <w:rsid w:val="00EE0CFB"/>
    <w:rsid w:val="00F0659B"/>
    <w:rsid w:val="00F06AA6"/>
    <w:rsid w:val="00F11391"/>
    <w:rsid w:val="00F11ED6"/>
    <w:rsid w:val="00F127DB"/>
    <w:rsid w:val="00F128AD"/>
    <w:rsid w:val="00F17A4C"/>
    <w:rsid w:val="00F32918"/>
    <w:rsid w:val="00F478F3"/>
    <w:rsid w:val="00F5490B"/>
    <w:rsid w:val="00F569AF"/>
    <w:rsid w:val="00F569F6"/>
    <w:rsid w:val="00F71D0E"/>
    <w:rsid w:val="00F92A5E"/>
    <w:rsid w:val="00F92CB1"/>
    <w:rsid w:val="00F93C5F"/>
    <w:rsid w:val="00F940D9"/>
    <w:rsid w:val="00F958D2"/>
    <w:rsid w:val="00F972F5"/>
    <w:rsid w:val="00FA2AFE"/>
    <w:rsid w:val="00FA5AB7"/>
    <w:rsid w:val="00FA728C"/>
    <w:rsid w:val="00FA7D9A"/>
    <w:rsid w:val="00FB49C5"/>
    <w:rsid w:val="00FC121F"/>
    <w:rsid w:val="00FC5445"/>
    <w:rsid w:val="00FD0396"/>
    <w:rsid w:val="00FD56D8"/>
    <w:rsid w:val="00FD749C"/>
    <w:rsid w:val="00FE00A3"/>
    <w:rsid w:val="00FE0B1D"/>
    <w:rsid w:val="00FE4565"/>
    <w:rsid w:val="00FE5D8B"/>
    <w:rsid w:val="00FE7702"/>
    <w:rsid w:val="00FF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E6"/>
  </w:style>
  <w:style w:type="paragraph" w:styleId="Heading1">
    <w:name w:val="heading 1"/>
    <w:basedOn w:val="Normal"/>
    <w:next w:val="Normal"/>
    <w:link w:val="Heading1Char"/>
    <w:uiPriority w:val="9"/>
    <w:qFormat/>
    <w:rsid w:val="001D2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47D23"/>
    <w:pPr>
      <w:spacing w:before="200" w:after="0" w:line="240" w:lineRule="auto"/>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502"/>
    <w:pPr>
      <w:ind w:left="720"/>
      <w:contextualSpacing/>
    </w:pPr>
  </w:style>
  <w:style w:type="paragraph" w:styleId="NoSpacing">
    <w:name w:val="No Spacing"/>
    <w:uiPriority w:val="1"/>
    <w:qFormat/>
    <w:rsid w:val="00AD1215"/>
    <w:pPr>
      <w:spacing w:after="0" w:line="240" w:lineRule="auto"/>
    </w:pPr>
    <w:rPr>
      <w:rFonts w:eastAsia="Calibri" w:cs="Times New Roman"/>
      <w:szCs w:val="24"/>
    </w:rPr>
  </w:style>
  <w:style w:type="paragraph" w:styleId="BodyTextIndent">
    <w:name w:val="Body Text Indent"/>
    <w:basedOn w:val="Normal"/>
    <w:link w:val="BodyTextIndentChar"/>
    <w:rsid w:val="00AD1215"/>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D1215"/>
    <w:rPr>
      <w:rFonts w:eastAsia="Times New Roman" w:cs="Times New Roman"/>
      <w:szCs w:val="24"/>
    </w:rPr>
  </w:style>
  <w:style w:type="paragraph" w:styleId="Header">
    <w:name w:val="header"/>
    <w:basedOn w:val="Normal"/>
    <w:link w:val="HeaderChar"/>
    <w:uiPriority w:val="99"/>
    <w:unhideWhenUsed/>
    <w:rsid w:val="0096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CC"/>
  </w:style>
  <w:style w:type="paragraph" w:styleId="Footer">
    <w:name w:val="footer"/>
    <w:basedOn w:val="Normal"/>
    <w:link w:val="FooterChar"/>
    <w:uiPriority w:val="99"/>
    <w:unhideWhenUsed/>
    <w:rsid w:val="0096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CC"/>
  </w:style>
  <w:style w:type="paragraph" w:styleId="BalloonText">
    <w:name w:val="Balloon Text"/>
    <w:basedOn w:val="Normal"/>
    <w:link w:val="BalloonTextChar"/>
    <w:uiPriority w:val="99"/>
    <w:semiHidden/>
    <w:unhideWhenUsed/>
    <w:rsid w:val="006C5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45"/>
    <w:rPr>
      <w:rFonts w:ascii="Tahoma" w:hAnsi="Tahoma" w:cs="Tahoma"/>
      <w:sz w:val="16"/>
      <w:szCs w:val="16"/>
    </w:rPr>
  </w:style>
  <w:style w:type="character" w:styleId="CommentReference">
    <w:name w:val="annotation reference"/>
    <w:basedOn w:val="DefaultParagraphFont"/>
    <w:uiPriority w:val="99"/>
    <w:semiHidden/>
    <w:unhideWhenUsed/>
    <w:rsid w:val="00B00D04"/>
    <w:rPr>
      <w:sz w:val="16"/>
      <w:szCs w:val="16"/>
    </w:rPr>
  </w:style>
  <w:style w:type="paragraph" w:styleId="CommentText">
    <w:name w:val="annotation text"/>
    <w:basedOn w:val="Normal"/>
    <w:link w:val="CommentTextChar"/>
    <w:uiPriority w:val="99"/>
    <w:semiHidden/>
    <w:unhideWhenUsed/>
    <w:rsid w:val="00B00D04"/>
    <w:pPr>
      <w:spacing w:line="240" w:lineRule="auto"/>
    </w:pPr>
    <w:rPr>
      <w:sz w:val="20"/>
      <w:szCs w:val="20"/>
    </w:rPr>
  </w:style>
  <w:style w:type="character" w:customStyle="1" w:styleId="CommentTextChar">
    <w:name w:val="Comment Text Char"/>
    <w:basedOn w:val="DefaultParagraphFont"/>
    <w:link w:val="CommentText"/>
    <w:uiPriority w:val="99"/>
    <w:semiHidden/>
    <w:rsid w:val="00B00D04"/>
    <w:rPr>
      <w:sz w:val="20"/>
      <w:szCs w:val="20"/>
    </w:rPr>
  </w:style>
  <w:style w:type="paragraph" w:styleId="CommentSubject">
    <w:name w:val="annotation subject"/>
    <w:basedOn w:val="CommentText"/>
    <w:next w:val="CommentText"/>
    <w:link w:val="CommentSubjectChar"/>
    <w:uiPriority w:val="99"/>
    <w:semiHidden/>
    <w:unhideWhenUsed/>
    <w:rsid w:val="00B00D04"/>
    <w:rPr>
      <w:b/>
      <w:bCs/>
    </w:rPr>
  </w:style>
  <w:style w:type="character" w:customStyle="1" w:styleId="CommentSubjectChar">
    <w:name w:val="Comment Subject Char"/>
    <w:basedOn w:val="CommentTextChar"/>
    <w:link w:val="CommentSubject"/>
    <w:uiPriority w:val="99"/>
    <w:semiHidden/>
    <w:rsid w:val="00B00D04"/>
    <w:rPr>
      <w:b/>
      <w:bCs/>
      <w:sz w:val="20"/>
      <w:szCs w:val="20"/>
    </w:rPr>
  </w:style>
  <w:style w:type="character" w:customStyle="1" w:styleId="apple-style-span">
    <w:name w:val="apple-style-span"/>
    <w:basedOn w:val="DefaultParagraphFont"/>
    <w:rsid w:val="006847CC"/>
  </w:style>
  <w:style w:type="paragraph" w:customStyle="1" w:styleId="Default">
    <w:name w:val="Default"/>
    <w:rsid w:val="00BE7AB7"/>
    <w:pPr>
      <w:autoSpaceDE w:val="0"/>
      <w:autoSpaceDN w:val="0"/>
      <w:adjustRightInd w:val="0"/>
      <w:spacing w:after="0" w:line="240" w:lineRule="auto"/>
    </w:pPr>
    <w:rPr>
      <w:rFonts w:eastAsia="Calibri" w:cs="Times New Roman"/>
      <w:color w:val="000000"/>
      <w:szCs w:val="24"/>
    </w:rPr>
  </w:style>
  <w:style w:type="paragraph" w:styleId="PlainText">
    <w:name w:val="Plain Text"/>
    <w:basedOn w:val="Normal"/>
    <w:link w:val="PlainTextChar"/>
    <w:uiPriority w:val="99"/>
    <w:unhideWhenUsed/>
    <w:rsid w:val="00BE7AB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E7AB7"/>
    <w:rPr>
      <w:rFonts w:ascii="Consolas" w:eastAsia="Calibri" w:hAnsi="Consolas" w:cs="Times New Roman"/>
      <w:sz w:val="21"/>
      <w:szCs w:val="21"/>
    </w:rPr>
  </w:style>
  <w:style w:type="character" w:styleId="Emphasis">
    <w:name w:val="Emphasis"/>
    <w:basedOn w:val="DefaultParagraphFont"/>
    <w:uiPriority w:val="20"/>
    <w:qFormat/>
    <w:rsid w:val="0070770E"/>
    <w:rPr>
      <w:i/>
      <w:iCs/>
    </w:rPr>
  </w:style>
  <w:style w:type="character" w:styleId="Strong">
    <w:name w:val="Strong"/>
    <w:basedOn w:val="DefaultParagraphFont"/>
    <w:uiPriority w:val="22"/>
    <w:qFormat/>
    <w:rsid w:val="0070770E"/>
    <w:rPr>
      <w:b/>
      <w:bCs/>
    </w:rPr>
  </w:style>
  <w:style w:type="character" w:customStyle="1" w:styleId="apple-converted-space">
    <w:name w:val="apple-converted-space"/>
    <w:basedOn w:val="DefaultParagraphFont"/>
    <w:rsid w:val="0070770E"/>
  </w:style>
  <w:style w:type="character" w:customStyle="1" w:styleId="Heading3Char">
    <w:name w:val="Heading 3 Char"/>
    <w:basedOn w:val="DefaultParagraphFont"/>
    <w:link w:val="Heading3"/>
    <w:uiPriority w:val="9"/>
    <w:rsid w:val="00B47D23"/>
    <w:rPr>
      <w:rFonts w:asciiTheme="majorHAnsi" w:eastAsiaTheme="majorEastAsia" w:hAnsiTheme="majorHAnsi" w:cstheme="majorBidi"/>
      <w:b/>
      <w:bCs/>
      <w:i/>
    </w:rPr>
  </w:style>
  <w:style w:type="character" w:customStyle="1" w:styleId="Heading1Char">
    <w:name w:val="Heading 1 Char"/>
    <w:basedOn w:val="DefaultParagraphFont"/>
    <w:link w:val="Heading1"/>
    <w:uiPriority w:val="9"/>
    <w:rsid w:val="001D2AE9"/>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D8706C"/>
    <w:pPr>
      <w:spacing w:after="0" w:line="240" w:lineRule="auto"/>
    </w:pPr>
  </w:style>
  <w:style w:type="paragraph" w:styleId="FootnoteText">
    <w:name w:val="footnote text"/>
    <w:basedOn w:val="Normal"/>
    <w:link w:val="FootnoteTextChar"/>
    <w:uiPriority w:val="99"/>
    <w:semiHidden/>
    <w:unhideWhenUsed/>
    <w:rsid w:val="00B44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6B4"/>
    <w:rPr>
      <w:sz w:val="20"/>
      <w:szCs w:val="20"/>
    </w:rPr>
  </w:style>
  <w:style w:type="character" w:styleId="FootnoteReference">
    <w:name w:val="footnote reference"/>
    <w:basedOn w:val="DefaultParagraphFont"/>
    <w:uiPriority w:val="99"/>
    <w:semiHidden/>
    <w:unhideWhenUsed/>
    <w:rsid w:val="00B446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E6"/>
  </w:style>
  <w:style w:type="paragraph" w:styleId="Heading1">
    <w:name w:val="heading 1"/>
    <w:basedOn w:val="Normal"/>
    <w:next w:val="Normal"/>
    <w:link w:val="Heading1Char"/>
    <w:uiPriority w:val="9"/>
    <w:qFormat/>
    <w:rsid w:val="001D2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47D23"/>
    <w:pPr>
      <w:spacing w:before="200" w:after="0" w:line="240" w:lineRule="auto"/>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502"/>
    <w:pPr>
      <w:ind w:left="720"/>
      <w:contextualSpacing/>
    </w:pPr>
  </w:style>
  <w:style w:type="paragraph" w:styleId="NoSpacing">
    <w:name w:val="No Spacing"/>
    <w:uiPriority w:val="1"/>
    <w:qFormat/>
    <w:rsid w:val="00AD1215"/>
    <w:pPr>
      <w:spacing w:after="0" w:line="240" w:lineRule="auto"/>
    </w:pPr>
    <w:rPr>
      <w:rFonts w:eastAsia="Calibri" w:cs="Times New Roman"/>
      <w:szCs w:val="24"/>
    </w:rPr>
  </w:style>
  <w:style w:type="paragraph" w:styleId="BodyTextIndent">
    <w:name w:val="Body Text Indent"/>
    <w:basedOn w:val="Normal"/>
    <w:link w:val="BodyTextIndentChar"/>
    <w:rsid w:val="00AD1215"/>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D1215"/>
    <w:rPr>
      <w:rFonts w:eastAsia="Times New Roman" w:cs="Times New Roman"/>
      <w:szCs w:val="24"/>
    </w:rPr>
  </w:style>
  <w:style w:type="paragraph" w:styleId="Header">
    <w:name w:val="header"/>
    <w:basedOn w:val="Normal"/>
    <w:link w:val="HeaderChar"/>
    <w:uiPriority w:val="99"/>
    <w:unhideWhenUsed/>
    <w:rsid w:val="0096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CC"/>
  </w:style>
  <w:style w:type="paragraph" w:styleId="Footer">
    <w:name w:val="footer"/>
    <w:basedOn w:val="Normal"/>
    <w:link w:val="FooterChar"/>
    <w:uiPriority w:val="99"/>
    <w:unhideWhenUsed/>
    <w:rsid w:val="0096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CC"/>
  </w:style>
  <w:style w:type="paragraph" w:styleId="BalloonText">
    <w:name w:val="Balloon Text"/>
    <w:basedOn w:val="Normal"/>
    <w:link w:val="BalloonTextChar"/>
    <w:uiPriority w:val="99"/>
    <w:semiHidden/>
    <w:unhideWhenUsed/>
    <w:rsid w:val="006C5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45"/>
    <w:rPr>
      <w:rFonts w:ascii="Tahoma" w:hAnsi="Tahoma" w:cs="Tahoma"/>
      <w:sz w:val="16"/>
      <w:szCs w:val="16"/>
    </w:rPr>
  </w:style>
  <w:style w:type="character" w:styleId="CommentReference">
    <w:name w:val="annotation reference"/>
    <w:basedOn w:val="DefaultParagraphFont"/>
    <w:uiPriority w:val="99"/>
    <w:semiHidden/>
    <w:unhideWhenUsed/>
    <w:rsid w:val="00B00D04"/>
    <w:rPr>
      <w:sz w:val="16"/>
      <w:szCs w:val="16"/>
    </w:rPr>
  </w:style>
  <w:style w:type="paragraph" w:styleId="CommentText">
    <w:name w:val="annotation text"/>
    <w:basedOn w:val="Normal"/>
    <w:link w:val="CommentTextChar"/>
    <w:uiPriority w:val="99"/>
    <w:semiHidden/>
    <w:unhideWhenUsed/>
    <w:rsid w:val="00B00D04"/>
    <w:pPr>
      <w:spacing w:line="240" w:lineRule="auto"/>
    </w:pPr>
    <w:rPr>
      <w:sz w:val="20"/>
      <w:szCs w:val="20"/>
    </w:rPr>
  </w:style>
  <w:style w:type="character" w:customStyle="1" w:styleId="CommentTextChar">
    <w:name w:val="Comment Text Char"/>
    <w:basedOn w:val="DefaultParagraphFont"/>
    <w:link w:val="CommentText"/>
    <w:uiPriority w:val="99"/>
    <w:semiHidden/>
    <w:rsid w:val="00B00D04"/>
    <w:rPr>
      <w:sz w:val="20"/>
      <w:szCs w:val="20"/>
    </w:rPr>
  </w:style>
  <w:style w:type="paragraph" w:styleId="CommentSubject">
    <w:name w:val="annotation subject"/>
    <w:basedOn w:val="CommentText"/>
    <w:next w:val="CommentText"/>
    <w:link w:val="CommentSubjectChar"/>
    <w:uiPriority w:val="99"/>
    <w:semiHidden/>
    <w:unhideWhenUsed/>
    <w:rsid w:val="00B00D04"/>
    <w:rPr>
      <w:b/>
      <w:bCs/>
    </w:rPr>
  </w:style>
  <w:style w:type="character" w:customStyle="1" w:styleId="CommentSubjectChar">
    <w:name w:val="Comment Subject Char"/>
    <w:basedOn w:val="CommentTextChar"/>
    <w:link w:val="CommentSubject"/>
    <w:uiPriority w:val="99"/>
    <w:semiHidden/>
    <w:rsid w:val="00B00D04"/>
    <w:rPr>
      <w:b/>
      <w:bCs/>
      <w:sz w:val="20"/>
      <w:szCs w:val="20"/>
    </w:rPr>
  </w:style>
  <w:style w:type="character" w:customStyle="1" w:styleId="apple-style-span">
    <w:name w:val="apple-style-span"/>
    <w:basedOn w:val="DefaultParagraphFont"/>
    <w:rsid w:val="006847CC"/>
  </w:style>
  <w:style w:type="paragraph" w:customStyle="1" w:styleId="Default">
    <w:name w:val="Default"/>
    <w:rsid w:val="00BE7AB7"/>
    <w:pPr>
      <w:autoSpaceDE w:val="0"/>
      <w:autoSpaceDN w:val="0"/>
      <w:adjustRightInd w:val="0"/>
      <w:spacing w:after="0" w:line="240" w:lineRule="auto"/>
    </w:pPr>
    <w:rPr>
      <w:rFonts w:eastAsia="Calibri" w:cs="Times New Roman"/>
      <w:color w:val="000000"/>
      <w:szCs w:val="24"/>
    </w:rPr>
  </w:style>
  <w:style w:type="paragraph" w:styleId="PlainText">
    <w:name w:val="Plain Text"/>
    <w:basedOn w:val="Normal"/>
    <w:link w:val="PlainTextChar"/>
    <w:uiPriority w:val="99"/>
    <w:unhideWhenUsed/>
    <w:rsid w:val="00BE7AB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E7AB7"/>
    <w:rPr>
      <w:rFonts w:ascii="Consolas" w:eastAsia="Calibri" w:hAnsi="Consolas" w:cs="Times New Roman"/>
      <w:sz w:val="21"/>
      <w:szCs w:val="21"/>
    </w:rPr>
  </w:style>
  <w:style w:type="character" w:styleId="Emphasis">
    <w:name w:val="Emphasis"/>
    <w:basedOn w:val="DefaultParagraphFont"/>
    <w:uiPriority w:val="20"/>
    <w:qFormat/>
    <w:rsid w:val="0070770E"/>
    <w:rPr>
      <w:i/>
      <w:iCs/>
    </w:rPr>
  </w:style>
  <w:style w:type="character" w:styleId="Strong">
    <w:name w:val="Strong"/>
    <w:basedOn w:val="DefaultParagraphFont"/>
    <w:uiPriority w:val="22"/>
    <w:qFormat/>
    <w:rsid w:val="0070770E"/>
    <w:rPr>
      <w:b/>
      <w:bCs/>
    </w:rPr>
  </w:style>
  <w:style w:type="character" w:customStyle="1" w:styleId="apple-converted-space">
    <w:name w:val="apple-converted-space"/>
    <w:basedOn w:val="DefaultParagraphFont"/>
    <w:rsid w:val="0070770E"/>
  </w:style>
  <w:style w:type="character" w:customStyle="1" w:styleId="Heading3Char">
    <w:name w:val="Heading 3 Char"/>
    <w:basedOn w:val="DefaultParagraphFont"/>
    <w:link w:val="Heading3"/>
    <w:uiPriority w:val="9"/>
    <w:rsid w:val="00B47D23"/>
    <w:rPr>
      <w:rFonts w:asciiTheme="majorHAnsi" w:eastAsiaTheme="majorEastAsia" w:hAnsiTheme="majorHAnsi" w:cstheme="majorBidi"/>
      <w:b/>
      <w:bCs/>
      <w:i/>
    </w:rPr>
  </w:style>
  <w:style w:type="character" w:customStyle="1" w:styleId="Heading1Char">
    <w:name w:val="Heading 1 Char"/>
    <w:basedOn w:val="DefaultParagraphFont"/>
    <w:link w:val="Heading1"/>
    <w:uiPriority w:val="9"/>
    <w:rsid w:val="001D2AE9"/>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D8706C"/>
    <w:pPr>
      <w:spacing w:after="0" w:line="240" w:lineRule="auto"/>
    </w:pPr>
  </w:style>
  <w:style w:type="paragraph" w:styleId="FootnoteText">
    <w:name w:val="footnote text"/>
    <w:basedOn w:val="Normal"/>
    <w:link w:val="FootnoteTextChar"/>
    <w:uiPriority w:val="99"/>
    <w:semiHidden/>
    <w:unhideWhenUsed/>
    <w:rsid w:val="00B44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6B4"/>
    <w:rPr>
      <w:sz w:val="20"/>
      <w:szCs w:val="20"/>
    </w:rPr>
  </w:style>
  <w:style w:type="character" w:styleId="FootnoteReference">
    <w:name w:val="footnote reference"/>
    <w:basedOn w:val="DefaultParagraphFont"/>
    <w:uiPriority w:val="99"/>
    <w:semiHidden/>
    <w:unhideWhenUsed/>
    <w:rsid w:val="00B44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955">
      <w:bodyDiv w:val="1"/>
      <w:marLeft w:val="0"/>
      <w:marRight w:val="0"/>
      <w:marTop w:val="0"/>
      <w:marBottom w:val="0"/>
      <w:divBdr>
        <w:top w:val="none" w:sz="0" w:space="0" w:color="auto"/>
        <w:left w:val="none" w:sz="0" w:space="0" w:color="auto"/>
        <w:bottom w:val="none" w:sz="0" w:space="0" w:color="auto"/>
        <w:right w:val="none" w:sz="0" w:space="0" w:color="auto"/>
      </w:divBdr>
    </w:div>
    <w:div w:id="41562160">
      <w:bodyDiv w:val="1"/>
      <w:marLeft w:val="0"/>
      <w:marRight w:val="0"/>
      <w:marTop w:val="0"/>
      <w:marBottom w:val="0"/>
      <w:divBdr>
        <w:top w:val="none" w:sz="0" w:space="0" w:color="auto"/>
        <w:left w:val="none" w:sz="0" w:space="0" w:color="auto"/>
        <w:bottom w:val="none" w:sz="0" w:space="0" w:color="auto"/>
        <w:right w:val="none" w:sz="0" w:space="0" w:color="auto"/>
      </w:divBdr>
    </w:div>
    <w:div w:id="196967950">
      <w:bodyDiv w:val="1"/>
      <w:marLeft w:val="0"/>
      <w:marRight w:val="0"/>
      <w:marTop w:val="0"/>
      <w:marBottom w:val="0"/>
      <w:divBdr>
        <w:top w:val="none" w:sz="0" w:space="0" w:color="auto"/>
        <w:left w:val="none" w:sz="0" w:space="0" w:color="auto"/>
        <w:bottom w:val="none" w:sz="0" w:space="0" w:color="auto"/>
        <w:right w:val="none" w:sz="0" w:space="0" w:color="auto"/>
      </w:divBdr>
    </w:div>
    <w:div w:id="339044735">
      <w:bodyDiv w:val="1"/>
      <w:marLeft w:val="0"/>
      <w:marRight w:val="0"/>
      <w:marTop w:val="0"/>
      <w:marBottom w:val="0"/>
      <w:divBdr>
        <w:top w:val="none" w:sz="0" w:space="0" w:color="auto"/>
        <w:left w:val="none" w:sz="0" w:space="0" w:color="auto"/>
        <w:bottom w:val="none" w:sz="0" w:space="0" w:color="auto"/>
        <w:right w:val="none" w:sz="0" w:space="0" w:color="auto"/>
      </w:divBdr>
    </w:div>
    <w:div w:id="445197244">
      <w:bodyDiv w:val="1"/>
      <w:marLeft w:val="0"/>
      <w:marRight w:val="0"/>
      <w:marTop w:val="0"/>
      <w:marBottom w:val="0"/>
      <w:divBdr>
        <w:top w:val="none" w:sz="0" w:space="0" w:color="auto"/>
        <w:left w:val="none" w:sz="0" w:space="0" w:color="auto"/>
        <w:bottom w:val="none" w:sz="0" w:space="0" w:color="auto"/>
        <w:right w:val="none" w:sz="0" w:space="0" w:color="auto"/>
      </w:divBdr>
    </w:div>
    <w:div w:id="610404863">
      <w:bodyDiv w:val="1"/>
      <w:marLeft w:val="0"/>
      <w:marRight w:val="0"/>
      <w:marTop w:val="0"/>
      <w:marBottom w:val="0"/>
      <w:divBdr>
        <w:top w:val="none" w:sz="0" w:space="0" w:color="auto"/>
        <w:left w:val="none" w:sz="0" w:space="0" w:color="auto"/>
        <w:bottom w:val="none" w:sz="0" w:space="0" w:color="auto"/>
        <w:right w:val="none" w:sz="0" w:space="0" w:color="auto"/>
      </w:divBdr>
    </w:div>
    <w:div w:id="635525016">
      <w:bodyDiv w:val="1"/>
      <w:marLeft w:val="0"/>
      <w:marRight w:val="0"/>
      <w:marTop w:val="0"/>
      <w:marBottom w:val="0"/>
      <w:divBdr>
        <w:top w:val="none" w:sz="0" w:space="0" w:color="auto"/>
        <w:left w:val="none" w:sz="0" w:space="0" w:color="auto"/>
        <w:bottom w:val="none" w:sz="0" w:space="0" w:color="auto"/>
        <w:right w:val="none" w:sz="0" w:space="0" w:color="auto"/>
      </w:divBdr>
    </w:div>
    <w:div w:id="662510752">
      <w:bodyDiv w:val="1"/>
      <w:marLeft w:val="0"/>
      <w:marRight w:val="0"/>
      <w:marTop w:val="0"/>
      <w:marBottom w:val="0"/>
      <w:divBdr>
        <w:top w:val="none" w:sz="0" w:space="0" w:color="auto"/>
        <w:left w:val="none" w:sz="0" w:space="0" w:color="auto"/>
        <w:bottom w:val="none" w:sz="0" w:space="0" w:color="auto"/>
        <w:right w:val="none" w:sz="0" w:space="0" w:color="auto"/>
      </w:divBdr>
    </w:div>
    <w:div w:id="686756497">
      <w:bodyDiv w:val="1"/>
      <w:marLeft w:val="0"/>
      <w:marRight w:val="0"/>
      <w:marTop w:val="0"/>
      <w:marBottom w:val="0"/>
      <w:divBdr>
        <w:top w:val="none" w:sz="0" w:space="0" w:color="auto"/>
        <w:left w:val="none" w:sz="0" w:space="0" w:color="auto"/>
        <w:bottom w:val="none" w:sz="0" w:space="0" w:color="auto"/>
        <w:right w:val="none" w:sz="0" w:space="0" w:color="auto"/>
      </w:divBdr>
    </w:div>
    <w:div w:id="804129710">
      <w:bodyDiv w:val="1"/>
      <w:marLeft w:val="0"/>
      <w:marRight w:val="0"/>
      <w:marTop w:val="0"/>
      <w:marBottom w:val="0"/>
      <w:divBdr>
        <w:top w:val="none" w:sz="0" w:space="0" w:color="auto"/>
        <w:left w:val="none" w:sz="0" w:space="0" w:color="auto"/>
        <w:bottom w:val="none" w:sz="0" w:space="0" w:color="auto"/>
        <w:right w:val="none" w:sz="0" w:space="0" w:color="auto"/>
      </w:divBdr>
    </w:div>
    <w:div w:id="960920635">
      <w:bodyDiv w:val="1"/>
      <w:marLeft w:val="0"/>
      <w:marRight w:val="0"/>
      <w:marTop w:val="0"/>
      <w:marBottom w:val="0"/>
      <w:divBdr>
        <w:top w:val="none" w:sz="0" w:space="0" w:color="auto"/>
        <w:left w:val="none" w:sz="0" w:space="0" w:color="auto"/>
        <w:bottom w:val="none" w:sz="0" w:space="0" w:color="auto"/>
        <w:right w:val="none" w:sz="0" w:space="0" w:color="auto"/>
      </w:divBdr>
    </w:div>
    <w:div w:id="1305545596">
      <w:bodyDiv w:val="1"/>
      <w:marLeft w:val="0"/>
      <w:marRight w:val="0"/>
      <w:marTop w:val="0"/>
      <w:marBottom w:val="0"/>
      <w:divBdr>
        <w:top w:val="none" w:sz="0" w:space="0" w:color="auto"/>
        <w:left w:val="none" w:sz="0" w:space="0" w:color="auto"/>
        <w:bottom w:val="none" w:sz="0" w:space="0" w:color="auto"/>
        <w:right w:val="none" w:sz="0" w:space="0" w:color="auto"/>
      </w:divBdr>
    </w:div>
    <w:div w:id="1329333428">
      <w:bodyDiv w:val="1"/>
      <w:marLeft w:val="0"/>
      <w:marRight w:val="0"/>
      <w:marTop w:val="0"/>
      <w:marBottom w:val="0"/>
      <w:divBdr>
        <w:top w:val="none" w:sz="0" w:space="0" w:color="auto"/>
        <w:left w:val="none" w:sz="0" w:space="0" w:color="auto"/>
        <w:bottom w:val="none" w:sz="0" w:space="0" w:color="auto"/>
        <w:right w:val="none" w:sz="0" w:space="0" w:color="auto"/>
      </w:divBdr>
    </w:div>
    <w:div w:id="1476724773">
      <w:bodyDiv w:val="1"/>
      <w:marLeft w:val="0"/>
      <w:marRight w:val="0"/>
      <w:marTop w:val="0"/>
      <w:marBottom w:val="0"/>
      <w:divBdr>
        <w:top w:val="none" w:sz="0" w:space="0" w:color="auto"/>
        <w:left w:val="none" w:sz="0" w:space="0" w:color="auto"/>
        <w:bottom w:val="none" w:sz="0" w:space="0" w:color="auto"/>
        <w:right w:val="none" w:sz="0" w:space="0" w:color="auto"/>
      </w:divBdr>
    </w:div>
    <w:div w:id="1646471813">
      <w:bodyDiv w:val="1"/>
      <w:marLeft w:val="0"/>
      <w:marRight w:val="0"/>
      <w:marTop w:val="0"/>
      <w:marBottom w:val="0"/>
      <w:divBdr>
        <w:top w:val="none" w:sz="0" w:space="0" w:color="auto"/>
        <w:left w:val="none" w:sz="0" w:space="0" w:color="auto"/>
        <w:bottom w:val="none" w:sz="0" w:space="0" w:color="auto"/>
        <w:right w:val="none" w:sz="0" w:space="0" w:color="auto"/>
      </w:divBdr>
    </w:div>
    <w:div w:id="1672903424">
      <w:bodyDiv w:val="1"/>
      <w:marLeft w:val="0"/>
      <w:marRight w:val="0"/>
      <w:marTop w:val="0"/>
      <w:marBottom w:val="0"/>
      <w:divBdr>
        <w:top w:val="none" w:sz="0" w:space="0" w:color="auto"/>
        <w:left w:val="none" w:sz="0" w:space="0" w:color="auto"/>
        <w:bottom w:val="none" w:sz="0" w:space="0" w:color="auto"/>
        <w:right w:val="none" w:sz="0" w:space="0" w:color="auto"/>
      </w:divBdr>
    </w:div>
    <w:div w:id="1717195477">
      <w:bodyDiv w:val="1"/>
      <w:marLeft w:val="0"/>
      <w:marRight w:val="0"/>
      <w:marTop w:val="0"/>
      <w:marBottom w:val="0"/>
      <w:divBdr>
        <w:top w:val="none" w:sz="0" w:space="0" w:color="auto"/>
        <w:left w:val="none" w:sz="0" w:space="0" w:color="auto"/>
        <w:bottom w:val="none" w:sz="0" w:space="0" w:color="auto"/>
        <w:right w:val="none" w:sz="0" w:space="0" w:color="auto"/>
      </w:divBdr>
    </w:div>
    <w:div w:id="2000884447">
      <w:bodyDiv w:val="1"/>
      <w:marLeft w:val="0"/>
      <w:marRight w:val="0"/>
      <w:marTop w:val="0"/>
      <w:marBottom w:val="0"/>
      <w:divBdr>
        <w:top w:val="none" w:sz="0" w:space="0" w:color="auto"/>
        <w:left w:val="none" w:sz="0" w:space="0" w:color="auto"/>
        <w:bottom w:val="none" w:sz="0" w:space="0" w:color="auto"/>
        <w:right w:val="none" w:sz="0" w:space="0" w:color="auto"/>
      </w:divBdr>
    </w:div>
    <w:div w:id="20897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D5B9-90AB-46CC-8A52-37365E78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8853</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Hannah</cp:lastModifiedBy>
  <cp:revision>3</cp:revision>
  <cp:lastPrinted>2012-12-31T23:00:00Z</cp:lastPrinted>
  <dcterms:created xsi:type="dcterms:W3CDTF">2013-01-01T07:51:00Z</dcterms:created>
  <dcterms:modified xsi:type="dcterms:W3CDTF">2013-01-01T07:52:00Z</dcterms:modified>
</cp:coreProperties>
</file>